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N w:val="0"/>
        <w:jc w:val="center"/>
        <w:textAlignment w:val="bottom"/>
        <w:rPr>
          <w:b/>
          <w:bCs/>
          <w:color w:val="000000"/>
          <w:sz w:val="32"/>
        </w:rPr>
      </w:pPr>
      <w:r>
        <w:rPr>
          <w:b/>
          <w:bCs/>
          <w:color w:val="000000"/>
          <w:sz w:val="32"/>
        </w:rPr>
        <w:t>文化创意学院研究生奖学金评定补充细则（201</w:t>
      </w:r>
      <w:r>
        <w:rPr>
          <w:rFonts w:hint="eastAsia"/>
          <w:b/>
          <w:bCs/>
          <w:color w:val="000000"/>
          <w:sz w:val="32"/>
        </w:rPr>
        <w:t>9.09</w:t>
      </w:r>
      <w:r>
        <w:rPr>
          <w:b/>
          <w:bCs/>
          <w:color w:val="000000"/>
          <w:sz w:val="32"/>
        </w:rPr>
        <w:t>）</w:t>
      </w:r>
    </w:p>
    <w:p>
      <w:pPr>
        <w:pStyle w:val="10"/>
        <w:autoSpaceDN w:val="0"/>
        <w:spacing w:line="360" w:lineRule="auto"/>
        <w:ind w:firstLine="0" w:firstLineChars="0"/>
        <w:jc w:val="left"/>
        <w:textAlignment w:val="bottom"/>
        <w:rPr>
          <w:color w:val="000000"/>
          <w:sz w:val="24"/>
        </w:rPr>
      </w:pPr>
      <w:r>
        <w:rPr>
          <w:rFonts w:hint="eastAsia"/>
          <w:color w:val="000000"/>
          <w:sz w:val="24"/>
        </w:rPr>
        <w:t>一、</w:t>
      </w:r>
      <w:r>
        <w:rPr>
          <w:color w:val="000000"/>
          <w:sz w:val="24"/>
        </w:rPr>
        <w:t>评定对象：</w:t>
      </w:r>
    </w:p>
    <w:p>
      <w:pPr>
        <w:pStyle w:val="10"/>
        <w:autoSpaceDN w:val="0"/>
        <w:spacing w:line="360" w:lineRule="auto"/>
        <w:ind w:firstLine="480"/>
        <w:jc w:val="left"/>
        <w:textAlignment w:val="bottom"/>
        <w:rPr>
          <w:color w:val="000000"/>
          <w:sz w:val="24"/>
        </w:rPr>
      </w:pPr>
      <w:r>
        <w:rPr>
          <w:rFonts w:hint="eastAsia"/>
          <w:color w:val="000000"/>
          <w:sz w:val="24"/>
        </w:rPr>
        <w:t>1、</w:t>
      </w:r>
      <w:r>
        <w:rPr>
          <w:color w:val="000000"/>
          <w:sz w:val="24"/>
        </w:rPr>
        <w:t>研究生</w:t>
      </w:r>
      <w:r>
        <w:rPr>
          <w:rFonts w:hint="eastAsia"/>
          <w:color w:val="000000"/>
          <w:sz w:val="24"/>
        </w:rPr>
        <w:t>国家奖学金：</w:t>
      </w:r>
      <w:r>
        <w:rPr>
          <w:color w:val="000000"/>
          <w:sz w:val="24"/>
        </w:rPr>
        <w:t>全日制在校研究生（包括学术型和专业学位）</w:t>
      </w:r>
      <w:r>
        <w:rPr>
          <w:rFonts w:hint="eastAsia"/>
          <w:color w:val="000000"/>
          <w:sz w:val="24"/>
        </w:rPr>
        <w:t>；</w:t>
      </w:r>
    </w:p>
    <w:p>
      <w:pPr>
        <w:pStyle w:val="10"/>
        <w:autoSpaceDN w:val="0"/>
        <w:spacing w:line="360" w:lineRule="auto"/>
        <w:ind w:left="959" w:leftChars="228" w:hanging="480" w:hangingChars="200"/>
        <w:jc w:val="left"/>
        <w:textAlignment w:val="bottom"/>
        <w:rPr>
          <w:color w:val="000000"/>
          <w:sz w:val="24"/>
        </w:rPr>
      </w:pPr>
      <w:r>
        <w:rPr>
          <w:rFonts w:hint="eastAsia"/>
          <w:color w:val="000000"/>
          <w:sz w:val="24"/>
        </w:rPr>
        <w:t>2、研究生</w:t>
      </w:r>
      <w:r>
        <w:rPr>
          <w:color w:val="000000"/>
          <w:sz w:val="24"/>
        </w:rPr>
        <w:t>经亨颐奖学金</w:t>
      </w:r>
      <w:r>
        <w:rPr>
          <w:rFonts w:hint="eastAsia"/>
          <w:color w:val="000000"/>
          <w:sz w:val="24"/>
        </w:rPr>
        <w:t>、</w:t>
      </w:r>
      <w:r>
        <w:rPr>
          <w:color w:val="000000"/>
          <w:sz w:val="24"/>
        </w:rPr>
        <w:t>学业奖学金</w:t>
      </w:r>
      <w:r>
        <w:rPr>
          <w:rFonts w:hint="eastAsia"/>
          <w:color w:val="000000"/>
          <w:sz w:val="24"/>
        </w:rPr>
        <w:t>和</w:t>
      </w:r>
      <w:r>
        <w:rPr>
          <w:color w:val="000000"/>
          <w:sz w:val="24"/>
        </w:rPr>
        <w:t>单项奖学金</w:t>
      </w:r>
      <w:r>
        <w:rPr>
          <w:rFonts w:hint="eastAsia"/>
          <w:color w:val="000000"/>
          <w:sz w:val="24"/>
        </w:rPr>
        <w:t>、</w:t>
      </w:r>
      <w:r>
        <w:rPr>
          <w:color w:val="000000"/>
          <w:sz w:val="24"/>
        </w:rPr>
        <w:t>优秀研究生和优秀研究生</w:t>
      </w:r>
      <w:r>
        <w:rPr>
          <w:rFonts w:hint="eastAsia"/>
          <w:color w:val="000000"/>
          <w:sz w:val="24"/>
        </w:rPr>
        <w:t>干</w:t>
      </w:r>
      <w:r>
        <w:rPr>
          <w:color w:val="000000"/>
          <w:sz w:val="24"/>
        </w:rPr>
        <w:t>部</w:t>
      </w:r>
      <w:r>
        <w:rPr>
          <w:rFonts w:hint="eastAsia"/>
          <w:color w:val="000000"/>
          <w:sz w:val="24"/>
        </w:rPr>
        <w:t>：</w:t>
      </w:r>
      <w:r>
        <w:rPr>
          <w:color w:val="000000"/>
          <w:sz w:val="24"/>
        </w:rPr>
        <w:t>全日制在校</w:t>
      </w:r>
      <w:r>
        <w:rPr>
          <w:b/>
          <w:bCs/>
          <w:color w:val="000000"/>
          <w:sz w:val="24"/>
        </w:rPr>
        <w:t>二、三年级</w:t>
      </w:r>
      <w:r>
        <w:rPr>
          <w:color w:val="000000"/>
          <w:sz w:val="24"/>
        </w:rPr>
        <w:t>研究生（包括学术型和专业学位）；</w:t>
      </w:r>
    </w:p>
    <w:p>
      <w:pPr>
        <w:pStyle w:val="10"/>
        <w:autoSpaceDN w:val="0"/>
        <w:spacing w:line="360" w:lineRule="auto"/>
        <w:ind w:firstLine="480"/>
        <w:jc w:val="left"/>
        <w:textAlignment w:val="bottom"/>
        <w:rPr>
          <w:rFonts w:hint="eastAsia" w:eastAsia="宋体"/>
          <w:color w:val="000000"/>
          <w:sz w:val="24"/>
          <w:lang w:eastAsia="zh-CN"/>
        </w:rPr>
      </w:pPr>
      <w:r>
        <w:rPr>
          <w:rFonts w:hint="eastAsia"/>
          <w:bCs/>
          <w:color w:val="000000"/>
          <w:sz w:val="24"/>
        </w:rPr>
        <w:t>3、</w:t>
      </w:r>
      <w:r>
        <w:rPr>
          <w:bCs/>
          <w:color w:val="000000"/>
          <w:sz w:val="24"/>
          <w:u w:val="single"/>
        </w:rPr>
        <w:t>优秀毕业研究生：</w:t>
      </w:r>
      <w:r>
        <w:rPr>
          <w:color w:val="000000"/>
          <w:sz w:val="24"/>
          <w:u w:val="single"/>
        </w:rPr>
        <w:t>全日制在校应届毕业研究生</w:t>
      </w:r>
      <w:r>
        <w:rPr>
          <w:rFonts w:hint="eastAsia"/>
          <w:color w:val="000000"/>
          <w:sz w:val="24"/>
          <w:u w:val="single"/>
          <w:lang w:eastAsia="zh-CN"/>
        </w:rPr>
        <w:t>（不参与</w:t>
      </w:r>
      <w:r>
        <w:rPr>
          <w:rFonts w:hint="eastAsia"/>
          <w:color w:val="000000"/>
          <w:sz w:val="24"/>
          <w:u w:val="single"/>
          <w:lang w:val="en-US" w:eastAsia="zh-CN"/>
        </w:rPr>
        <w:t>9月评奖评优，待10月左右具体通知</w:t>
      </w:r>
      <w:r>
        <w:rPr>
          <w:rFonts w:hint="eastAsia"/>
          <w:color w:val="000000"/>
          <w:sz w:val="24"/>
          <w:u w:val="single"/>
          <w:lang w:eastAsia="zh-CN"/>
        </w:rPr>
        <w:t>）</w:t>
      </w:r>
    </w:p>
    <w:p>
      <w:pPr>
        <w:pStyle w:val="10"/>
        <w:autoSpaceDN w:val="0"/>
        <w:spacing w:line="360" w:lineRule="auto"/>
        <w:ind w:firstLine="0" w:firstLineChars="0"/>
        <w:jc w:val="left"/>
        <w:textAlignment w:val="bottom"/>
        <w:rPr>
          <w:color w:val="000000"/>
          <w:sz w:val="24"/>
        </w:rPr>
      </w:pPr>
      <w:r>
        <w:rPr>
          <w:rFonts w:hint="eastAsia"/>
          <w:color w:val="000000"/>
          <w:sz w:val="24"/>
        </w:rPr>
        <w:t>二、</w:t>
      </w:r>
      <w:r>
        <w:rPr>
          <w:color w:val="000000"/>
          <w:sz w:val="24"/>
        </w:rPr>
        <w:t>支撑材料时效：</w:t>
      </w:r>
    </w:p>
    <w:p>
      <w:pPr>
        <w:pStyle w:val="10"/>
        <w:autoSpaceDN w:val="0"/>
        <w:spacing w:line="360" w:lineRule="auto"/>
        <w:ind w:left="959" w:leftChars="228" w:hanging="480" w:hangingChars="200"/>
        <w:jc w:val="left"/>
        <w:textAlignment w:val="bottom"/>
        <w:rPr>
          <w:sz w:val="24"/>
        </w:rPr>
      </w:pPr>
      <w:r>
        <w:rPr>
          <w:rFonts w:hint="eastAsia"/>
          <w:sz w:val="24"/>
        </w:rPr>
        <w:t>1、</w:t>
      </w:r>
      <w:r>
        <w:rPr>
          <w:sz w:val="24"/>
        </w:rPr>
        <w:t>研究生</w:t>
      </w:r>
      <w:r>
        <w:rPr>
          <w:rFonts w:hint="eastAsia"/>
          <w:color w:val="000000"/>
          <w:sz w:val="24"/>
        </w:rPr>
        <w:t>国家奖学金：</w:t>
      </w:r>
      <w:r>
        <w:rPr>
          <w:bCs/>
          <w:sz w:val="24"/>
        </w:rPr>
        <w:t>自上</w:t>
      </w:r>
      <w:r>
        <w:rPr>
          <w:sz w:val="24"/>
        </w:rPr>
        <w:t>年9月份至当年8月份；</w:t>
      </w:r>
      <w:r>
        <w:rPr>
          <w:rFonts w:hint="eastAsia"/>
          <w:sz w:val="24"/>
        </w:rPr>
        <w:t>研</w:t>
      </w:r>
      <w:bookmarkStart w:id="0" w:name="_GoBack"/>
      <w:bookmarkEnd w:id="0"/>
      <w:r>
        <w:rPr>
          <w:rFonts w:hint="eastAsia"/>
          <w:sz w:val="24"/>
        </w:rPr>
        <w:t>一考察研究生招生考试相关成绩及考核评价情况，兼顾其在入学前的学习阶段取得的突出成绩；</w:t>
      </w:r>
    </w:p>
    <w:p>
      <w:pPr>
        <w:pStyle w:val="10"/>
        <w:autoSpaceDN w:val="0"/>
        <w:spacing w:line="360" w:lineRule="auto"/>
        <w:ind w:firstLine="480"/>
        <w:jc w:val="left"/>
        <w:textAlignment w:val="bottom"/>
        <w:rPr>
          <w:color w:val="000000"/>
          <w:sz w:val="24"/>
        </w:rPr>
      </w:pPr>
      <w:r>
        <w:rPr>
          <w:rFonts w:hint="eastAsia"/>
          <w:color w:val="000000"/>
          <w:sz w:val="24"/>
        </w:rPr>
        <w:t>2、</w:t>
      </w:r>
      <w:r>
        <w:rPr>
          <w:color w:val="000000"/>
          <w:sz w:val="24"/>
        </w:rPr>
        <w:t>研究生经亨颐奖学金：研究生入校以来至支撑材料上交截止时间；</w:t>
      </w:r>
    </w:p>
    <w:p>
      <w:pPr>
        <w:pStyle w:val="10"/>
        <w:autoSpaceDN w:val="0"/>
        <w:spacing w:line="360" w:lineRule="auto"/>
        <w:ind w:firstLine="480"/>
        <w:jc w:val="left"/>
        <w:textAlignment w:val="bottom"/>
        <w:rPr>
          <w:sz w:val="24"/>
        </w:rPr>
      </w:pPr>
      <w:r>
        <w:rPr>
          <w:rFonts w:hint="eastAsia"/>
          <w:color w:val="000000"/>
          <w:sz w:val="24"/>
        </w:rPr>
        <w:t>3、研究生</w:t>
      </w:r>
      <w:r>
        <w:rPr>
          <w:sz w:val="24"/>
        </w:rPr>
        <w:t>学业奖学金</w:t>
      </w:r>
      <w:r>
        <w:rPr>
          <w:rFonts w:hint="eastAsia"/>
          <w:sz w:val="24"/>
        </w:rPr>
        <w:t>和</w:t>
      </w:r>
      <w:r>
        <w:rPr>
          <w:rFonts w:hint="eastAsia"/>
          <w:color w:val="000000"/>
          <w:sz w:val="24"/>
        </w:rPr>
        <w:t>单项奖学金</w:t>
      </w:r>
      <w:r>
        <w:rPr>
          <w:sz w:val="24"/>
        </w:rPr>
        <w:t>：</w:t>
      </w:r>
      <w:r>
        <w:rPr>
          <w:bCs/>
          <w:sz w:val="24"/>
        </w:rPr>
        <w:t>自上</w:t>
      </w:r>
      <w:r>
        <w:rPr>
          <w:sz w:val="24"/>
        </w:rPr>
        <w:t>年9月份至当年8月份；</w:t>
      </w:r>
    </w:p>
    <w:p>
      <w:pPr>
        <w:pStyle w:val="10"/>
        <w:autoSpaceDN w:val="0"/>
        <w:spacing w:line="360" w:lineRule="auto"/>
        <w:ind w:firstLine="480"/>
        <w:jc w:val="left"/>
        <w:textAlignment w:val="bottom"/>
        <w:rPr>
          <w:color w:val="000000"/>
          <w:sz w:val="24"/>
        </w:rPr>
      </w:pPr>
      <w:r>
        <w:rPr>
          <w:rFonts w:hint="eastAsia"/>
          <w:color w:val="000000"/>
          <w:sz w:val="24"/>
        </w:rPr>
        <w:t>4、优秀研究生和优秀研究生干部：自上年9月份至当年8月份；</w:t>
      </w:r>
    </w:p>
    <w:p>
      <w:pPr>
        <w:pStyle w:val="10"/>
        <w:autoSpaceDN w:val="0"/>
        <w:spacing w:line="360" w:lineRule="auto"/>
        <w:ind w:firstLine="480"/>
        <w:jc w:val="left"/>
        <w:textAlignment w:val="bottom"/>
        <w:rPr>
          <w:color w:val="000000"/>
          <w:sz w:val="24"/>
        </w:rPr>
      </w:pPr>
      <w:r>
        <w:rPr>
          <w:rFonts w:hint="eastAsia"/>
          <w:color w:val="000000"/>
          <w:sz w:val="24"/>
        </w:rPr>
        <w:t>5、</w:t>
      </w:r>
      <w:r>
        <w:rPr>
          <w:bCs/>
          <w:color w:val="000000"/>
          <w:sz w:val="24"/>
        </w:rPr>
        <w:t>优秀毕业研究生：</w:t>
      </w:r>
      <w:r>
        <w:rPr>
          <w:color w:val="000000"/>
          <w:sz w:val="24"/>
        </w:rPr>
        <w:t>研究生入校以来</w:t>
      </w:r>
      <w:r>
        <w:rPr>
          <w:bCs/>
          <w:color w:val="000000"/>
          <w:sz w:val="24"/>
        </w:rPr>
        <w:t>至支撑材料上交截止时间。</w:t>
      </w:r>
    </w:p>
    <w:p>
      <w:pPr>
        <w:pStyle w:val="10"/>
        <w:autoSpaceDN w:val="0"/>
        <w:spacing w:line="360" w:lineRule="auto"/>
        <w:ind w:firstLine="0" w:firstLineChars="0"/>
        <w:jc w:val="left"/>
        <w:textAlignment w:val="bottom"/>
        <w:rPr>
          <w:color w:val="000000"/>
          <w:sz w:val="24"/>
        </w:rPr>
      </w:pPr>
      <w:r>
        <w:rPr>
          <w:rFonts w:hint="eastAsia"/>
          <w:color w:val="000000"/>
          <w:sz w:val="24"/>
        </w:rPr>
        <w:t>三、</w:t>
      </w:r>
      <w:r>
        <w:rPr>
          <w:color w:val="000000"/>
          <w:sz w:val="24"/>
        </w:rPr>
        <w:t>分值计算：</w:t>
      </w:r>
    </w:p>
    <w:p>
      <w:pPr>
        <w:autoSpaceDN w:val="0"/>
        <w:spacing w:line="360" w:lineRule="auto"/>
        <w:jc w:val="left"/>
        <w:textAlignment w:val="bottom"/>
        <w:rPr>
          <w:b/>
          <w:color w:val="000000"/>
          <w:sz w:val="24"/>
        </w:rPr>
      </w:pPr>
      <w:r>
        <w:rPr>
          <w:b/>
          <w:color w:val="000000"/>
          <w:sz w:val="24"/>
        </w:rPr>
        <w:t>1．课程分计算</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835"/>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N w:val="0"/>
              <w:spacing w:line="360" w:lineRule="auto"/>
              <w:jc w:val="center"/>
              <w:textAlignment w:val="bottom"/>
              <w:rPr>
                <w:rFonts w:eastAsia="仿宋_GB2312"/>
                <w:color w:val="000000"/>
                <w:sz w:val="24"/>
              </w:rPr>
            </w:pPr>
            <w:r>
              <w:rPr>
                <w:rFonts w:eastAsia="仿宋_GB2312"/>
                <w:color w:val="000000"/>
                <w:sz w:val="24"/>
              </w:rPr>
              <w:t>年级</w:t>
            </w:r>
          </w:p>
        </w:tc>
        <w:tc>
          <w:tcPr>
            <w:tcW w:w="2835" w:type="dxa"/>
            <w:vAlign w:val="center"/>
          </w:tcPr>
          <w:p>
            <w:pPr>
              <w:autoSpaceDN w:val="0"/>
              <w:spacing w:line="360" w:lineRule="auto"/>
              <w:jc w:val="center"/>
              <w:textAlignment w:val="bottom"/>
              <w:rPr>
                <w:rFonts w:eastAsia="仿宋_GB2312"/>
                <w:color w:val="000000"/>
                <w:sz w:val="24"/>
              </w:rPr>
            </w:pPr>
            <w:r>
              <w:rPr>
                <w:rFonts w:eastAsia="仿宋_GB2312"/>
                <w:color w:val="000000"/>
                <w:sz w:val="24"/>
              </w:rPr>
              <w:t>分值计算</w:t>
            </w:r>
          </w:p>
        </w:tc>
        <w:tc>
          <w:tcPr>
            <w:tcW w:w="4536" w:type="dxa"/>
            <w:vAlign w:val="center"/>
          </w:tcPr>
          <w:p>
            <w:pPr>
              <w:autoSpaceDN w:val="0"/>
              <w:spacing w:line="360" w:lineRule="auto"/>
              <w:jc w:val="center"/>
              <w:textAlignment w:val="bottom"/>
              <w:rPr>
                <w:rFonts w:eastAsia="仿宋_GB2312"/>
                <w:color w:val="000000"/>
                <w:sz w:val="24"/>
              </w:rPr>
            </w:pPr>
            <w:r>
              <w:rPr>
                <w:rFonts w:eastAsia="仿宋_GB2312"/>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autoSpaceDN w:val="0"/>
              <w:snapToGrid w:val="0"/>
              <w:jc w:val="center"/>
              <w:textAlignment w:val="bottom"/>
              <w:rPr>
                <w:rFonts w:eastAsia="仿宋_GB2312"/>
                <w:color w:val="000000"/>
                <w:sz w:val="24"/>
              </w:rPr>
            </w:pPr>
            <w:r>
              <w:rPr>
                <w:rFonts w:eastAsia="仿宋_GB2312"/>
                <w:color w:val="000000"/>
                <w:sz w:val="24"/>
              </w:rPr>
              <w:t>研二</w:t>
            </w:r>
          </w:p>
        </w:tc>
        <w:tc>
          <w:tcPr>
            <w:tcW w:w="2835" w:type="dxa"/>
            <w:vAlign w:val="center"/>
          </w:tcPr>
          <w:p>
            <w:pPr>
              <w:autoSpaceDN w:val="0"/>
              <w:snapToGrid w:val="0"/>
              <w:jc w:val="center"/>
              <w:textAlignment w:val="bottom"/>
              <w:rPr>
                <w:rFonts w:eastAsia="仿宋_GB2312"/>
                <w:color w:val="000000"/>
                <w:sz w:val="24"/>
              </w:rPr>
            </w:pPr>
            <w:r>
              <w:rPr>
                <w:rFonts w:eastAsia="仿宋_GB2312"/>
                <w:color w:val="000000"/>
                <w:sz w:val="24"/>
              </w:rPr>
              <w:t>上学年两学期政治、英语（日语）</w:t>
            </w:r>
            <w:r>
              <w:rPr>
                <w:rFonts w:eastAsia="仿宋_GB2312"/>
                <w:color w:val="000000"/>
                <w:sz w:val="24"/>
                <w:u w:val="single"/>
              </w:rPr>
              <w:t>平均分</w:t>
            </w:r>
          </w:p>
        </w:tc>
        <w:tc>
          <w:tcPr>
            <w:tcW w:w="4536" w:type="dxa"/>
            <w:vAlign w:val="center"/>
          </w:tcPr>
          <w:p>
            <w:pPr>
              <w:autoSpaceDN w:val="0"/>
              <w:snapToGrid w:val="0"/>
              <w:jc w:val="center"/>
              <w:textAlignment w:val="bottom"/>
              <w:rPr>
                <w:rFonts w:eastAsia="仿宋_GB2312"/>
                <w:color w:val="000000"/>
                <w:sz w:val="24"/>
              </w:rPr>
            </w:pPr>
            <w:r>
              <w:rPr>
                <w:rFonts w:eastAsia="仿宋_GB2312"/>
                <w:color w:val="000000"/>
                <w:sz w:val="24"/>
              </w:rPr>
              <w:t>英语免修同学只计算政治平均成绩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restart"/>
            <w:vAlign w:val="center"/>
          </w:tcPr>
          <w:p>
            <w:pPr>
              <w:autoSpaceDN w:val="0"/>
              <w:snapToGrid w:val="0"/>
              <w:jc w:val="center"/>
              <w:textAlignment w:val="bottom"/>
              <w:rPr>
                <w:rFonts w:eastAsia="仿宋_GB2312"/>
                <w:color w:val="000000"/>
                <w:sz w:val="24"/>
              </w:rPr>
            </w:pPr>
            <w:r>
              <w:rPr>
                <w:rFonts w:eastAsia="仿宋_GB2312"/>
                <w:color w:val="000000"/>
                <w:sz w:val="24"/>
              </w:rPr>
              <w:t>研三</w:t>
            </w:r>
          </w:p>
        </w:tc>
        <w:tc>
          <w:tcPr>
            <w:tcW w:w="2835" w:type="dxa"/>
            <w:vAlign w:val="center"/>
          </w:tcPr>
          <w:p>
            <w:pPr>
              <w:autoSpaceDN w:val="0"/>
              <w:snapToGrid w:val="0"/>
              <w:jc w:val="center"/>
              <w:textAlignment w:val="bottom"/>
              <w:rPr>
                <w:rFonts w:eastAsia="仿宋_GB2312"/>
                <w:color w:val="000000"/>
                <w:sz w:val="24"/>
              </w:rPr>
            </w:pPr>
            <w:r>
              <w:rPr>
                <w:rFonts w:eastAsia="仿宋_GB2312"/>
                <w:color w:val="000000"/>
                <w:sz w:val="24"/>
              </w:rPr>
              <w:t>100</w:t>
            </w:r>
          </w:p>
        </w:tc>
        <w:tc>
          <w:tcPr>
            <w:tcW w:w="4536" w:type="dxa"/>
            <w:vAlign w:val="center"/>
          </w:tcPr>
          <w:p>
            <w:pPr>
              <w:autoSpaceDN w:val="0"/>
              <w:snapToGrid w:val="0"/>
              <w:jc w:val="left"/>
              <w:textAlignment w:val="bottom"/>
              <w:rPr>
                <w:rFonts w:eastAsia="仿宋_GB2312"/>
                <w:color w:val="000000"/>
                <w:sz w:val="24"/>
              </w:rPr>
            </w:pPr>
            <w:r>
              <w:rPr>
                <w:rFonts w:eastAsia="仿宋_GB2312"/>
                <w:color w:val="000000"/>
                <w:sz w:val="24"/>
                <w:u w:val="single"/>
              </w:rPr>
              <w:t>学业奖学金、经亨颐奖学金</w:t>
            </w:r>
            <w:r>
              <w:rPr>
                <w:rFonts w:eastAsia="仿宋_GB2312"/>
                <w:color w:val="000000"/>
                <w:sz w:val="24"/>
              </w:rPr>
              <w:t>评选时，该项默认满分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Merge w:val="continue"/>
            <w:vAlign w:val="center"/>
          </w:tcPr>
          <w:p>
            <w:pPr>
              <w:autoSpaceDN w:val="0"/>
              <w:snapToGrid w:val="0"/>
              <w:jc w:val="center"/>
              <w:textAlignment w:val="bottom"/>
              <w:rPr>
                <w:rFonts w:eastAsia="仿宋_GB2312"/>
                <w:color w:val="000000"/>
                <w:sz w:val="24"/>
              </w:rPr>
            </w:pPr>
          </w:p>
        </w:tc>
        <w:tc>
          <w:tcPr>
            <w:tcW w:w="2835" w:type="dxa"/>
            <w:vAlign w:val="center"/>
          </w:tcPr>
          <w:p>
            <w:pPr>
              <w:autoSpaceDN w:val="0"/>
              <w:snapToGrid w:val="0"/>
              <w:jc w:val="center"/>
              <w:textAlignment w:val="bottom"/>
              <w:rPr>
                <w:rFonts w:eastAsia="仿宋_GB2312"/>
                <w:color w:val="000000"/>
                <w:sz w:val="24"/>
              </w:rPr>
            </w:pPr>
            <w:r>
              <w:rPr>
                <w:rFonts w:eastAsia="仿宋_GB2312"/>
                <w:color w:val="000000"/>
                <w:sz w:val="24"/>
              </w:rPr>
              <w:t>盲审成绩</w:t>
            </w:r>
          </w:p>
        </w:tc>
        <w:tc>
          <w:tcPr>
            <w:tcW w:w="4536" w:type="dxa"/>
            <w:vAlign w:val="center"/>
          </w:tcPr>
          <w:p>
            <w:pPr>
              <w:autoSpaceDN w:val="0"/>
              <w:snapToGrid w:val="0"/>
              <w:jc w:val="left"/>
              <w:textAlignment w:val="bottom"/>
              <w:rPr>
                <w:rFonts w:eastAsia="仿宋_GB2312"/>
                <w:color w:val="000000"/>
                <w:sz w:val="24"/>
              </w:rPr>
            </w:pPr>
            <w:r>
              <w:rPr>
                <w:rFonts w:eastAsia="仿宋_GB2312"/>
                <w:color w:val="000000"/>
                <w:sz w:val="24"/>
              </w:rPr>
              <w:t>毕业研究生省优、校优评选时：</w:t>
            </w:r>
          </w:p>
          <w:p>
            <w:pPr>
              <w:autoSpaceDN w:val="0"/>
              <w:snapToGrid w:val="0"/>
              <w:jc w:val="left"/>
              <w:textAlignment w:val="bottom"/>
              <w:rPr>
                <w:rFonts w:eastAsia="仿宋_GB2312"/>
                <w:b/>
                <w:color w:val="000000"/>
                <w:sz w:val="24"/>
                <w:u w:val="single"/>
              </w:rPr>
            </w:pPr>
            <w:r>
              <w:rPr>
                <w:rFonts w:eastAsia="仿宋_GB2312"/>
                <w:b/>
                <w:color w:val="000000"/>
                <w:sz w:val="24"/>
                <w:u w:val="single"/>
              </w:rPr>
              <w:t>凡出现两个C即取消评比资格</w:t>
            </w:r>
          </w:p>
        </w:tc>
      </w:tr>
    </w:tbl>
    <w:p>
      <w:pPr>
        <w:autoSpaceDN w:val="0"/>
        <w:spacing w:line="360" w:lineRule="auto"/>
        <w:jc w:val="left"/>
        <w:textAlignment w:val="bottom"/>
        <w:rPr>
          <w:b/>
          <w:color w:val="000000"/>
          <w:sz w:val="24"/>
        </w:rPr>
      </w:pPr>
      <w:r>
        <w:rPr>
          <w:b/>
          <w:color w:val="000000"/>
          <w:sz w:val="24"/>
        </w:rPr>
        <w:t>2．科研分计算</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1"/>
        <w:gridCol w:w="142"/>
        <w:gridCol w:w="2693"/>
        <w:gridCol w:w="142"/>
        <w:gridCol w:w="284"/>
        <w:gridCol w:w="1984"/>
        <w:gridCol w:w="142"/>
        <w:gridCol w:w="142"/>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textAlignment w:val="bottom"/>
              <w:rPr>
                <w:rFonts w:eastAsia="仿宋_GB2312"/>
                <w:b/>
                <w:color w:val="000000"/>
                <w:sz w:val="24"/>
              </w:rPr>
            </w:pPr>
            <w:r>
              <w:rPr>
                <w:rFonts w:eastAsia="仿宋_GB2312"/>
                <w:b/>
                <w:color w:val="000000"/>
                <w:sz w:val="24"/>
              </w:rPr>
              <w:t>类别</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textAlignment w:val="bottom"/>
              <w:rPr>
                <w:rFonts w:eastAsia="仿宋_GB2312"/>
                <w:b/>
                <w:color w:val="000000"/>
                <w:sz w:val="24"/>
              </w:rPr>
            </w:pPr>
            <w:r>
              <w:rPr>
                <w:rFonts w:eastAsia="仿宋_GB2312"/>
                <w:b/>
                <w:color w:val="000000"/>
                <w:sz w:val="24"/>
              </w:rPr>
              <w:t>科研成果</w:t>
            </w:r>
          </w:p>
        </w:tc>
        <w:tc>
          <w:tcPr>
            <w:tcW w:w="2552"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textAlignment w:val="bottom"/>
              <w:rPr>
                <w:rFonts w:eastAsia="仿宋_GB2312"/>
                <w:b/>
                <w:color w:val="000000"/>
                <w:sz w:val="24"/>
              </w:rPr>
            </w:pPr>
            <w:r>
              <w:rPr>
                <w:rFonts w:eastAsia="仿宋_GB2312"/>
                <w:b/>
                <w:color w:val="000000"/>
                <w:sz w:val="24"/>
              </w:rPr>
              <w:t>分值</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textAlignment w:val="bottom"/>
              <w:rPr>
                <w:rFonts w:eastAsia="仿宋_GB2312"/>
                <w:b/>
                <w:color w:val="000000"/>
                <w:sz w:val="24"/>
              </w:rPr>
            </w:pPr>
            <w:r>
              <w:rPr>
                <w:rFonts w:eastAsia="仿宋_GB2312"/>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restart"/>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textAlignment w:val="bottom"/>
              <w:rPr>
                <w:rFonts w:eastAsia="仿宋_GB2312"/>
                <w:b/>
                <w:color w:val="000000"/>
                <w:sz w:val="24"/>
              </w:rPr>
            </w:pPr>
            <w:r>
              <w:rPr>
                <w:rFonts w:eastAsia="仿宋_GB2312"/>
                <w:b/>
                <w:color w:val="000000"/>
                <w:sz w:val="24"/>
              </w:rPr>
              <w:t>论文类、参著类、参编类</w:t>
            </w:r>
          </w:p>
        </w:tc>
        <w:tc>
          <w:tcPr>
            <w:tcW w:w="2976"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textAlignment w:val="bottom"/>
              <w:rPr>
                <w:rFonts w:eastAsia="仿宋_GB2312"/>
                <w:color w:val="000000"/>
                <w:szCs w:val="21"/>
              </w:rPr>
            </w:pPr>
            <w:r>
              <w:rPr>
                <w:rFonts w:eastAsia="仿宋_GB2312"/>
                <w:color w:val="000000"/>
                <w:szCs w:val="21"/>
              </w:rPr>
              <w:t>各类论文集入选</w:t>
            </w:r>
          </w:p>
        </w:tc>
        <w:tc>
          <w:tcPr>
            <w:tcW w:w="2552" w:type="dxa"/>
            <w:gridSpan w:val="4"/>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eastAsia="仿宋_GB2312"/>
                <w:color w:val="000000"/>
                <w:szCs w:val="21"/>
              </w:rPr>
            </w:pPr>
            <w:r>
              <w:rPr>
                <w:rFonts w:eastAsia="仿宋_GB2312"/>
                <w:color w:val="000000"/>
                <w:szCs w:val="21"/>
              </w:rPr>
              <w:t>1．定期召开（届）的全国及国际学术研讨会入选，10-30；</w:t>
            </w:r>
          </w:p>
          <w:p>
            <w:pPr>
              <w:autoSpaceDN w:val="0"/>
              <w:snapToGrid w:val="0"/>
              <w:jc w:val="left"/>
              <w:textAlignment w:val="bottom"/>
              <w:rPr>
                <w:rFonts w:eastAsia="仿宋_GB2312"/>
                <w:color w:val="000000"/>
                <w:szCs w:val="21"/>
              </w:rPr>
            </w:pPr>
            <w:r>
              <w:rPr>
                <w:rFonts w:eastAsia="仿宋_GB2312"/>
                <w:color w:val="000000"/>
                <w:szCs w:val="21"/>
              </w:rPr>
              <w:t>2．省级及其他一般性冠以“全国”及“国际”的学术研讨会入选，5-10；</w:t>
            </w:r>
          </w:p>
          <w:p>
            <w:pPr>
              <w:autoSpaceDN w:val="0"/>
              <w:snapToGrid w:val="0"/>
              <w:jc w:val="left"/>
              <w:textAlignment w:val="bottom"/>
              <w:rPr>
                <w:rFonts w:eastAsia="仿宋_GB2312"/>
                <w:color w:val="000000"/>
                <w:szCs w:val="21"/>
              </w:rPr>
            </w:pPr>
            <w:r>
              <w:rPr>
                <w:rFonts w:eastAsia="仿宋_GB2312"/>
                <w:color w:val="000000"/>
                <w:szCs w:val="21"/>
              </w:rPr>
              <w:t>3．其他一般论文集，2。</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autoSpaceDN w:val="0"/>
              <w:snapToGrid w:val="0"/>
              <w:textAlignment w:val="bottom"/>
              <w:rPr>
                <w:rFonts w:eastAsia="仿宋_GB2312"/>
                <w:color w:val="000000"/>
                <w:sz w:val="18"/>
                <w:szCs w:val="18"/>
              </w:rPr>
            </w:pPr>
            <w:r>
              <w:rPr>
                <w:rFonts w:eastAsia="仿宋_GB2312"/>
                <w:color w:val="000000"/>
                <w:sz w:val="18"/>
                <w:szCs w:val="18"/>
              </w:rPr>
              <w:t>定期召开（届）的全国及国际学术研讨会，指省部级（含）以上政府部门或国家级协会（一级学会）及国际知名学术机构等主办的有行业（学术）影响的会议。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sz w:val="24"/>
              </w:rPr>
            </w:pPr>
          </w:p>
        </w:tc>
        <w:tc>
          <w:tcPr>
            <w:tcW w:w="2976" w:type="dxa"/>
            <w:gridSpan w:val="3"/>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Cs w:val="21"/>
              </w:rPr>
            </w:pPr>
            <w:r>
              <w:rPr>
                <w:rFonts w:eastAsia="仿宋_GB2312"/>
                <w:color w:val="000000"/>
                <w:szCs w:val="21"/>
              </w:rPr>
              <w:t>普通期刊</w:t>
            </w:r>
          </w:p>
        </w:tc>
        <w:tc>
          <w:tcPr>
            <w:tcW w:w="2552" w:type="dxa"/>
            <w:gridSpan w:val="4"/>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Cs w:val="21"/>
              </w:rPr>
            </w:pPr>
            <w:r>
              <w:rPr>
                <w:rFonts w:eastAsia="仿宋_GB2312"/>
                <w:color w:val="000000"/>
                <w:szCs w:val="21"/>
              </w:rPr>
              <w:t>3</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Cs w:val="21"/>
              </w:rPr>
            </w:pPr>
            <w:r>
              <w:rPr>
                <w:rFonts w:eastAsia="仿宋_GB2312"/>
                <w:color w:val="000000"/>
                <w:szCs w:val="21"/>
              </w:rPr>
              <w:t>增刊减半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sz w:val="24"/>
              </w:rPr>
            </w:pPr>
          </w:p>
        </w:tc>
        <w:tc>
          <w:tcPr>
            <w:tcW w:w="2976" w:type="dxa"/>
            <w:gridSpan w:val="3"/>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Cs w:val="21"/>
              </w:rPr>
            </w:pPr>
            <w:r>
              <w:rPr>
                <w:rFonts w:eastAsia="仿宋_GB2312"/>
                <w:color w:val="000000"/>
                <w:szCs w:val="21"/>
              </w:rPr>
              <w:t>核心期刊【以最新版北大核心期刊目录为准】</w:t>
            </w:r>
          </w:p>
        </w:tc>
        <w:tc>
          <w:tcPr>
            <w:tcW w:w="2552" w:type="dxa"/>
            <w:gridSpan w:val="4"/>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Cs w:val="21"/>
              </w:rPr>
            </w:pPr>
            <w:r>
              <w:rPr>
                <w:rFonts w:eastAsia="仿宋_GB2312"/>
                <w:color w:val="000000"/>
                <w:szCs w:val="21"/>
              </w:rPr>
              <w:t>10</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Cs w:val="21"/>
              </w:rPr>
            </w:pPr>
            <w:r>
              <w:rPr>
                <w:rFonts w:eastAsia="仿宋_GB2312"/>
                <w:color w:val="000000"/>
                <w:szCs w:val="21"/>
              </w:rPr>
              <w:t>增刊减半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sz w:val="24"/>
              </w:rPr>
            </w:pPr>
          </w:p>
        </w:tc>
        <w:tc>
          <w:tcPr>
            <w:tcW w:w="2976" w:type="dxa"/>
            <w:gridSpan w:val="3"/>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Cs w:val="21"/>
              </w:rPr>
            </w:pPr>
            <w:r>
              <w:rPr>
                <w:rFonts w:eastAsia="仿宋_GB2312"/>
                <w:color w:val="000000"/>
                <w:szCs w:val="21"/>
              </w:rPr>
              <w:t>一级期刊【以学校公布目录为准】</w:t>
            </w:r>
          </w:p>
        </w:tc>
        <w:tc>
          <w:tcPr>
            <w:tcW w:w="2552" w:type="dxa"/>
            <w:gridSpan w:val="4"/>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Cs w:val="21"/>
              </w:rPr>
            </w:pPr>
            <w:r>
              <w:rPr>
                <w:rFonts w:eastAsia="仿宋_GB2312"/>
                <w:color w:val="000000"/>
                <w:szCs w:val="21"/>
              </w:rPr>
              <w:t>50（一级A）；</w:t>
            </w:r>
          </w:p>
          <w:p>
            <w:pPr>
              <w:autoSpaceDN w:val="0"/>
              <w:snapToGrid w:val="0"/>
              <w:jc w:val="center"/>
              <w:textAlignment w:val="bottom"/>
              <w:rPr>
                <w:rFonts w:eastAsia="仿宋_GB2312"/>
                <w:color w:val="000000"/>
                <w:szCs w:val="21"/>
              </w:rPr>
            </w:pPr>
            <w:r>
              <w:rPr>
                <w:rFonts w:eastAsia="仿宋_GB2312"/>
                <w:color w:val="000000"/>
                <w:szCs w:val="21"/>
              </w:rPr>
              <w:t>20（一级B）；</w:t>
            </w:r>
          </w:p>
          <w:p>
            <w:pPr>
              <w:autoSpaceDN w:val="0"/>
              <w:snapToGrid w:val="0"/>
              <w:jc w:val="center"/>
              <w:textAlignment w:val="bottom"/>
              <w:rPr>
                <w:rFonts w:eastAsia="仿宋_GB2312"/>
                <w:color w:val="000000"/>
                <w:szCs w:val="21"/>
              </w:rPr>
            </w:pPr>
            <w:r>
              <w:rPr>
                <w:rFonts w:eastAsia="仿宋_GB2312"/>
                <w:color w:val="000000"/>
                <w:szCs w:val="21"/>
              </w:rPr>
              <w:t>本校学报[社科版]，15</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Cs w:val="21"/>
              </w:rPr>
            </w:pPr>
            <w:r>
              <w:rPr>
                <w:rFonts w:eastAsia="仿宋_GB2312"/>
                <w:color w:val="000000"/>
                <w:szCs w:val="21"/>
              </w:rPr>
              <w:t>增刊减半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sz w:val="24"/>
              </w:rPr>
            </w:pPr>
          </w:p>
        </w:tc>
        <w:tc>
          <w:tcPr>
            <w:tcW w:w="2976" w:type="dxa"/>
            <w:gridSpan w:val="3"/>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Cs w:val="21"/>
              </w:rPr>
            </w:pPr>
            <w:r>
              <w:rPr>
                <w:rFonts w:eastAsia="仿宋_GB2312"/>
                <w:color w:val="000000"/>
                <w:szCs w:val="21"/>
              </w:rPr>
              <w:t>人大复印资料全文转载</w:t>
            </w:r>
          </w:p>
        </w:tc>
        <w:tc>
          <w:tcPr>
            <w:tcW w:w="2552" w:type="dxa"/>
            <w:gridSpan w:val="4"/>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Cs w:val="21"/>
              </w:rPr>
            </w:pPr>
            <w:r>
              <w:rPr>
                <w:rFonts w:eastAsia="仿宋_GB2312"/>
                <w:color w:val="000000"/>
                <w:szCs w:val="21"/>
              </w:rPr>
              <w:t>+20</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sz w:val="24"/>
              </w:rPr>
            </w:pPr>
          </w:p>
        </w:tc>
        <w:tc>
          <w:tcPr>
            <w:tcW w:w="2976" w:type="dxa"/>
            <w:gridSpan w:val="3"/>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Cs w:val="21"/>
              </w:rPr>
            </w:pPr>
            <w:r>
              <w:rPr>
                <w:rFonts w:eastAsia="仿宋_GB2312"/>
                <w:color w:val="000000"/>
                <w:szCs w:val="21"/>
              </w:rPr>
              <w:t>高等学校文科全文转载</w:t>
            </w:r>
          </w:p>
        </w:tc>
        <w:tc>
          <w:tcPr>
            <w:tcW w:w="2552" w:type="dxa"/>
            <w:gridSpan w:val="4"/>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Cs w:val="21"/>
              </w:rPr>
            </w:pPr>
            <w:r>
              <w:rPr>
                <w:rFonts w:eastAsia="仿宋_GB2312"/>
                <w:color w:val="000000"/>
                <w:szCs w:val="21"/>
              </w:rPr>
              <w:t>+15</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sz w:val="24"/>
              </w:rPr>
            </w:pPr>
          </w:p>
        </w:tc>
        <w:tc>
          <w:tcPr>
            <w:tcW w:w="2976" w:type="dxa"/>
            <w:gridSpan w:val="3"/>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Cs w:val="21"/>
                <w:highlight w:val="yellow"/>
              </w:rPr>
            </w:pPr>
            <w:r>
              <w:rPr>
                <w:rFonts w:eastAsia="仿宋_GB2312"/>
                <w:color w:val="000000"/>
                <w:szCs w:val="21"/>
              </w:rPr>
              <w:t>参与著作撰稿</w:t>
            </w:r>
          </w:p>
        </w:tc>
        <w:tc>
          <w:tcPr>
            <w:tcW w:w="2552" w:type="dxa"/>
            <w:gridSpan w:val="4"/>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Cs w:val="21"/>
              </w:rPr>
            </w:pPr>
            <w:r>
              <w:rPr>
                <w:rFonts w:eastAsia="仿宋_GB2312"/>
                <w:color w:val="000000"/>
                <w:szCs w:val="21"/>
              </w:rPr>
              <w:t>5/万字</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Cs w:val="21"/>
              </w:rPr>
            </w:pPr>
            <w:r>
              <w:rPr>
                <w:rFonts w:eastAsia="仿宋_GB2312"/>
                <w:color w:val="000000"/>
                <w:szCs w:val="21"/>
              </w:rPr>
              <w:t>国家重点图书出版规划项目，1.5倍计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sz w:val="24"/>
              </w:rPr>
            </w:pPr>
          </w:p>
        </w:tc>
        <w:tc>
          <w:tcPr>
            <w:tcW w:w="2976" w:type="dxa"/>
            <w:gridSpan w:val="3"/>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Cs w:val="21"/>
                <w:highlight w:val="yellow"/>
              </w:rPr>
            </w:pPr>
            <w:r>
              <w:rPr>
                <w:rFonts w:eastAsia="仿宋_GB2312"/>
                <w:color w:val="000000"/>
                <w:szCs w:val="21"/>
              </w:rPr>
              <w:t>参与教材、编著编写</w:t>
            </w:r>
          </w:p>
        </w:tc>
        <w:tc>
          <w:tcPr>
            <w:tcW w:w="2552" w:type="dxa"/>
            <w:gridSpan w:val="4"/>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Cs w:val="21"/>
              </w:rPr>
            </w:pPr>
            <w:r>
              <w:rPr>
                <w:rFonts w:eastAsia="仿宋_GB2312"/>
                <w:color w:val="000000"/>
                <w:szCs w:val="21"/>
              </w:rPr>
              <w:t>3/万字</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Cs w:val="21"/>
              </w:rPr>
            </w:pPr>
            <w:r>
              <w:rPr>
                <w:rFonts w:eastAsia="仿宋_GB2312"/>
                <w:color w:val="000000"/>
                <w:szCs w:val="21"/>
              </w:rPr>
              <w:t>省部级以上规划教材，得分加倍计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10"/>
            <w:tcBorders>
              <w:top w:val="single" w:color="auto" w:sz="4" w:space="0"/>
              <w:left w:val="single" w:color="auto" w:sz="4" w:space="0"/>
              <w:bottom w:val="single" w:color="auto" w:sz="4" w:space="0"/>
              <w:right w:val="single" w:color="auto" w:sz="4" w:space="0"/>
            </w:tcBorders>
            <w:vAlign w:val="center"/>
          </w:tcPr>
          <w:p>
            <w:pPr>
              <w:autoSpaceDN w:val="0"/>
              <w:spacing w:line="360" w:lineRule="auto"/>
              <w:textAlignment w:val="bottom"/>
              <w:rPr>
                <w:rFonts w:eastAsia="仿宋_GB2312"/>
                <w:color w:val="000000"/>
                <w:sz w:val="24"/>
              </w:rPr>
            </w:pPr>
            <w:r>
              <w:rPr>
                <w:rFonts w:eastAsia="仿宋_GB2312"/>
                <w:color w:val="000000"/>
                <w:sz w:val="24"/>
              </w:rPr>
              <w:t>说明：</w:t>
            </w:r>
          </w:p>
          <w:p>
            <w:pPr>
              <w:autoSpaceDN w:val="0"/>
              <w:snapToGrid w:val="0"/>
              <w:textAlignment w:val="bottom"/>
              <w:rPr>
                <w:rFonts w:eastAsia="仿宋_GB2312"/>
                <w:color w:val="000000"/>
                <w:sz w:val="24"/>
              </w:rPr>
            </w:pPr>
            <w:r>
              <w:rPr>
                <w:rFonts w:eastAsia="仿宋_GB2312"/>
                <w:color w:val="000000"/>
                <w:sz w:val="24"/>
              </w:rPr>
              <w:t>【1】两位作者合作发表论文，第一作者×0.6，第二作者×0.4。</w:t>
            </w:r>
          </w:p>
          <w:p>
            <w:pPr>
              <w:autoSpaceDN w:val="0"/>
              <w:snapToGrid w:val="0"/>
              <w:textAlignment w:val="bottom"/>
              <w:rPr>
                <w:rFonts w:eastAsia="仿宋_GB2312"/>
                <w:color w:val="000000"/>
                <w:sz w:val="24"/>
              </w:rPr>
            </w:pPr>
            <w:r>
              <w:rPr>
                <w:rFonts w:eastAsia="仿宋_GB2312"/>
                <w:color w:val="000000"/>
                <w:sz w:val="24"/>
              </w:rPr>
              <w:t>【2】三位及以上作者合作发表论文，第一作者×0.5，第二作者×0.3，第三作者×0.2，第四作者以下均只得×0.1。</w:t>
            </w:r>
          </w:p>
          <w:p>
            <w:pPr>
              <w:autoSpaceDN w:val="0"/>
              <w:snapToGrid w:val="0"/>
              <w:textAlignment w:val="bottom"/>
              <w:rPr>
                <w:rFonts w:eastAsia="仿宋_GB2312"/>
                <w:color w:val="000000"/>
                <w:sz w:val="24"/>
              </w:rPr>
            </w:pPr>
            <w:r>
              <w:rPr>
                <w:rFonts w:eastAsia="仿宋_GB2312"/>
                <w:color w:val="000000"/>
                <w:sz w:val="24"/>
              </w:rPr>
              <w:t>【3】若导师为论文合作者，第一作者为学生，则加全分；第一作者为导师，则第二作者×0.4，第三作者×0.3，第四及以后作者×0.2。</w:t>
            </w:r>
          </w:p>
          <w:p>
            <w:pPr>
              <w:autoSpaceDN w:val="0"/>
              <w:snapToGrid w:val="0"/>
              <w:textAlignment w:val="bottom"/>
              <w:rPr>
                <w:rFonts w:eastAsia="仿宋_GB2312"/>
                <w:color w:val="000000"/>
                <w:sz w:val="24"/>
              </w:rPr>
            </w:pPr>
            <w:r>
              <w:rPr>
                <w:rFonts w:eastAsia="仿宋_GB2312"/>
                <w:color w:val="000000"/>
                <w:sz w:val="24"/>
              </w:rPr>
              <w:t>【4】录用通知在评选各类奖学金时只作参考不折算分数，评选优秀毕业生时减半计算。</w:t>
            </w:r>
          </w:p>
          <w:p>
            <w:pPr>
              <w:autoSpaceDN w:val="0"/>
              <w:snapToGrid w:val="0"/>
              <w:textAlignment w:val="bottom"/>
              <w:rPr>
                <w:rFonts w:eastAsia="仿宋_GB2312"/>
                <w:color w:val="000000"/>
                <w:sz w:val="24"/>
              </w:rPr>
            </w:pPr>
            <w:r>
              <w:rPr>
                <w:rFonts w:eastAsia="仿宋_GB2312"/>
                <w:color w:val="000000"/>
                <w:sz w:val="24"/>
              </w:rPr>
              <w:t>【5】作者第一署名单位须为杭州师范大学。</w:t>
            </w:r>
          </w:p>
          <w:p>
            <w:pPr>
              <w:autoSpaceDN w:val="0"/>
              <w:snapToGrid w:val="0"/>
              <w:textAlignment w:val="bottom"/>
              <w:rPr>
                <w:rFonts w:eastAsia="仿宋_GB2312"/>
                <w:color w:val="000000"/>
                <w:sz w:val="24"/>
              </w:rPr>
            </w:pPr>
            <w:r>
              <w:rPr>
                <w:rFonts w:eastAsia="仿宋_GB2312"/>
                <w:color w:val="000000"/>
                <w:sz w:val="24"/>
              </w:rPr>
              <w:t>【6】论文字数＜3000字，或</w:t>
            </w:r>
            <w:r>
              <w:rPr>
                <w:rFonts w:eastAsia="仿宋_GB2312"/>
                <w:color w:val="000000"/>
                <w:sz w:val="24"/>
                <w:highlight w:val="yellow"/>
              </w:rPr>
              <w:t>论文版面在一页以内的，分数×1/3。</w:t>
            </w:r>
          </w:p>
          <w:p>
            <w:pPr>
              <w:autoSpaceDN w:val="0"/>
              <w:snapToGrid w:val="0"/>
              <w:textAlignment w:val="bottom"/>
              <w:rPr>
                <w:rFonts w:eastAsia="仿宋_GB2312"/>
                <w:color w:val="000000"/>
                <w:sz w:val="24"/>
              </w:rPr>
            </w:pPr>
            <w:r>
              <w:rPr>
                <w:rFonts w:eastAsia="仿宋_GB2312"/>
                <w:color w:val="000000"/>
                <w:sz w:val="24"/>
              </w:rPr>
              <w:t>【7】参撰、参编只计算学生本人完成工作量，以出版物标注或出版社证明为准。</w:t>
            </w:r>
          </w:p>
          <w:p>
            <w:pPr>
              <w:autoSpaceDN w:val="0"/>
              <w:snapToGrid w:val="0"/>
              <w:textAlignment w:val="bottom"/>
              <w:rPr>
                <w:rFonts w:eastAsia="仿宋_GB2312"/>
                <w:color w:val="000000"/>
                <w:sz w:val="24"/>
              </w:rPr>
            </w:pPr>
            <w:r>
              <w:rPr>
                <w:rFonts w:eastAsia="仿宋_GB2312"/>
                <w:color w:val="000000"/>
                <w:sz w:val="24"/>
              </w:rPr>
              <w:t>【8】发表漫画、插画等美术作品的，参照论文类加分，分值×0.2.分值加满为止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textAlignment w:val="bottom"/>
              <w:rPr>
                <w:rFonts w:eastAsia="仿宋_GB2312"/>
                <w:b/>
                <w:color w:val="000000"/>
                <w:sz w:val="24"/>
              </w:rPr>
            </w:pPr>
            <w:r>
              <w:rPr>
                <w:rFonts w:eastAsia="仿宋_GB2312"/>
                <w:b/>
                <w:color w:val="000000"/>
                <w:sz w:val="24"/>
              </w:rPr>
              <w:t>类别</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textAlignment w:val="bottom"/>
              <w:rPr>
                <w:rFonts w:eastAsia="仿宋_GB2312"/>
                <w:b/>
                <w:color w:val="000000"/>
                <w:sz w:val="24"/>
              </w:rPr>
            </w:pPr>
            <w:r>
              <w:rPr>
                <w:rFonts w:eastAsia="仿宋_GB2312"/>
                <w:b/>
                <w:color w:val="000000"/>
                <w:sz w:val="24"/>
              </w:rPr>
              <w:t>科研成果</w:t>
            </w:r>
          </w:p>
        </w:tc>
        <w:tc>
          <w:tcPr>
            <w:tcW w:w="2552"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textAlignment w:val="bottom"/>
              <w:rPr>
                <w:rFonts w:eastAsia="仿宋_GB2312"/>
                <w:b/>
                <w:color w:val="000000"/>
                <w:sz w:val="24"/>
              </w:rPr>
            </w:pPr>
            <w:r>
              <w:rPr>
                <w:rFonts w:eastAsia="仿宋_GB2312"/>
                <w:b/>
                <w:color w:val="000000"/>
                <w:sz w:val="24"/>
              </w:rPr>
              <w:t>分值</w:t>
            </w:r>
          </w:p>
        </w:tc>
        <w:tc>
          <w:tcPr>
            <w:tcW w:w="1984"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textAlignment w:val="bottom"/>
              <w:rPr>
                <w:rFonts w:eastAsia="仿宋_GB2312"/>
                <w:b/>
                <w:color w:val="000000"/>
                <w:sz w:val="24"/>
              </w:rPr>
            </w:pPr>
            <w:r>
              <w:rPr>
                <w:rFonts w:eastAsia="仿宋_GB2312"/>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384" w:type="dxa"/>
            <w:gridSpan w:val="3"/>
            <w:vMerge w:val="restart"/>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textAlignment w:val="bottom"/>
              <w:rPr>
                <w:rFonts w:eastAsia="仿宋_GB2312"/>
                <w:b/>
                <w:color w:val="000000"/>
                <w:sz w:val="24"/>
              </w:rPr>
            </w:pPr>
            <w:r>
              <w:rPr>
                <w:rFonts w:eastAsia="仿宋_GB2312"/>
                <w:b/>
                <w:color w:val="000000"/>
                <w:sz w:val="24"/>
              </w:rPr>
              <w:t>竞赛类、</w:t>
            </w:r>
          </w:p>
          <w:p>
            <w:pPr>
              <w:autoSpaceDN w:val="0"/>
              <w:spacing w:line="360" w:lineRule="auto"/>
              <w:jc w:val="center"/>
              <w:textAlignment w:val="bottom"/>
              <w:rPr>
                <w:rFonts w:eastAsia="仿宋_GB2312"/>
                <w:b/>
                <w:color w:val="000000"/>
                <w:sz w:val="24"/>
              </w:rPr>
            </w:pPr>
            <w:r>
              <w:rPr>
                <w:rFonts w:eastAsia="仿宋_GB2312"/>
                <w:b/>
                <w:color w:val="000000"/>
                <w:sz w:val="24"/>
              </w:rPr>
              <w:t>获奖类</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 w:val="24"/>
              </w:rPr>
            </w:pPr>
            <w:r>
              <w:rPr>
                <w:rFonts w:eastAsia="仿宋_GB2312"/>
                <w:color w:val="000000"/>
                <w:sz w:val="24"/>
              </w:rPr>
              <w:t>校级竞赛</w:t>
            </w:r>
          </w:p>
        </w:tc>
        <w:tc>
          <w:tcPr>
            <w:tcW w:w="2552" w:type="dxa"/>
            <w:gridSpan w:val="4"/>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eastAsia="仿宋_GB2312"/>
                <w:color w:val="000000"/>
                <w:sz w:val="24"/>
              </w:rPr>
            </w:pPr>
            <w:r>
              <w:rPr>
                <w:rFonts w:eastAsia="仿宋_GB2312"/>
                <w:color w:val="000000"/>
                <w:sz w:val="24"/>
              </w:rPr>
              <w:t>特等5；一等4；二等3；三等2；入选1</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eastAsia="仿宋_GB2312"/>
                <w:color w:val="000000"/>
                <w:szCs w:val="21"/>
              </w:rPr>
            </w:pPr>
            <w:r>
              <w:rPr>
                <w:rFonts w:eastAsia="仿宋_GB2312"/>
                <w:color w:val="000000"/>
                <w:szCs w:val="21"/>
              </w:rPr>
              <w:t>1．无“特等”奖级，得奖奖级分数依次上升；</w:t>
            </w:r>
          </w:p>
          <w:p>
            <w:pPr>
              <w:autoSpaceDN w:val="0"/>
              <w:snapToGrid w:val="0"/>
              <w:jc w:val="left"/>
              <w:textAlignment w:val="bottom"/>
              <w:rPr>
                <w:rFonts w:eastAsia="仿宋_GB2312"/>
                <w:color w:val="000000"/>
                <w:sz w:val="24"/>
              </w:rPr>
            </w:pPr>
            <w:r>
              <w:rPr>
                <w:rFonts w:eastAsia="仿宋_GB2312"/>
                <w:color w:val="000000"/>
                <w:szCs w:val="21"/>
              </w:rPr>
              <w:t>2．无等级的奖项，一律按该级别的二等奖核算。</w:t>
            </w:r>
          </w:p>
          <w:p>
            <w:pPr>
              <w:autoSpaceDN w:val="0"/>
              <w:snapToGrid w:val="0"/>
              <w:jc w:val="left"/>
              <w:textAlignment w:val="bottom"/>
              <w:rPr>
                <w:rFonts w:eastAsia="仿宋_GB2312"/>
                <w:color w:val="000000"/>
                <w:szCs w:val="21"/>
              </w:rPr>
            </w:pPr>
            <w:r>
              <w:rPr>
                <w:rFonts w:eastAsia="仿宋_GB2312"/>
                <w:color w:val="000000"/>
                <w:szCs w:val="21"/>
              </w:rPr>
              <w:t>3．国家级艺术大奖（指中宣部批准设立者），政府奖（如社科奖等），按5倍加分。</w:t>
            </w:r>
          </w:p>
          <w:p>
            <w:pPr>
              <w:autoSpaceDN w:val="0"/>
              <w:snapToGrid w:val="0"/>
              <w:jc w:val="left"/>
              <w:textAlignment w:val="bottom"/>
              <w:rPr>
                <w:rFonts w:eastAsia="仿宋_GB2312"/>
                <w:color w:val="000000"/>
                <w:szCs w:val="21"/>
              </w:rPr>
            </w:pPr>
            <w:r>
              <w:rPr>
                <w:rFonts w:eastAsia="仿宋_GB2312"/>
                <w:color w:val="000000"/>
                <w:szCs w:val="21"/>
              </w:rPr>
              <w:t>4.同一比赛中，同一作品多次获奖，就最高奖项加分。</w:t>
            </w:r>
          </w:p>
          <w:p>
            <w:pPr>
              <w:autoSpaceDN w:val="0"/>
              <w:snapToGrid w:val="0"/>
              <w:jc w:val="left"/>
              <w:textAlignment w:val="bottom"/>
              <w:rPr>
                <w:rFonts w:eastAsia="仿宋_GB2312"/>
                <w:color w:val="000000"/>
                <w:sz w:val="24"/>
              </w:rPr>
            </w:pPr>
            <w:r>
              <w:rPr>
                <w:rFonts w:eastAsia="仿宋_GB2312"/>
                <w:color w:val="000000"/>
                <w:szCs w:val="21"/>
              </w:rPr>
              <w:t>5.动画、影视类作品对应分值按1.5倍加分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38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sz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 w:val="24"/>
              </w:rPr>
            </w:pPr>
            <w:r>
              <w:rPr>
                <w:rFonts w:eastAsia="仿宋_GB2312"/>
                <w:color w:val="000000"/>
                <w:sz w:val="24"/>
              </w:rPr>
              <w:t>市厅级竞赛</w:t>
            </w:r>
          </w:p>
        </w:tc>
        <w:tc>
          <w:tcPr>
            <w:tcW w:w="2552" w:type="dxa"/>
            <w:gridSpan w:val="4"/>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eastAsia="仿宋_GB2312"/>
                <w:color w:val="000000"/>
                <w:sz w:val="24"/>
              </w:rPr>
            </w:pPr>
            <w:r>
              <w:rPr>
                <w:rFonts w:eastAsia="仿宋_GB2312"/>
                <w:color w:val="000000"/>
                <w:sz w:val="24"/>
              </w:rPr>
              <w:t>特等7；一等5；二等3；三等2；入选1</w:t>
            </w: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138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sz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 w:val="24"/>
              </w:rPr>
            </w:pPr>
            <w:r>
              <w:rPr>
                <w:rFonts w:eastAsia="仿宋_GB2312"/>
                <w:color w:val="000000"/>
                <w:sz w:val="24"/>
              </w:rPr>
              <w:t>省级竞赛</w:t>
            </w:r>
          </w:p>
        </w:tc>
        <w:tc>
          <w:tcPr>
            <w:tcW w:w="2552" w:type="dxa"/>
            <w:gridSpan w:val="4"/>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eastAsia="仿宋_GB2312"/>
                <w:color w:val="000000"/>
                <w:sz w:val="24"/>
              </w:rPr>
            </w:pPr>
            <w:r>
              <w:rPr>
                <w:rFonts w:eastAsia="仿宋_GB2312"/>
                <w:color w:val="000000"/>
                <w:sz w:val="24"/>
              </w:rPr>
              <w:t>特等15；一等12；二等8；三等5；入选3</w:t>
            </w: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sz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 w:val="24"/>
              </w:rPr>
            </w:pPr>
            <w:r>
              <w:rPr>
                <w:rFonts w:eastAsia="仿宋_GB2312"/>
                <w:color w:val="000000"/>
                <w:sz w:val="24"/>
              </w:rPr>
              <w:t>国家级竞赛</w:t>
            </w:r>
          </w:p>
        </w:tc>
        <w:tc>
          <w:tcPr>
            <w:tcW w:w="2552" w:type="dxa"/>
            <w:gridSpan w:val="4"/>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eastAsia="仿宋_GB2312"/>
                <w:color w:val="000000"/>
                <w:sz w:val="24"/>
              </w:rPr>
            </w:pPr>
            <w:r>
              <w:rPr>
                <w:rFonts w:eastAsia="仿宋_GB2312"/>
                <w:color w:val="000000"/>
                <w:sz w:val="24"/>
              </w:rPr>
              <w:t>特等30；一等20；二等15；三等10；入选8</w:t>
            </w: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10"/>
            <w:tcBorders>
              <w:top w:val="single" w:color="auto" w:sz="4" w:space="0"/>
              <w:left w:val="single" w:color="auto" w:sz="4" w:space="0"/>
              <w:bottom w:val="single" w:color="auto" w:sz="4" w:space="0"/>
              <w:right w:val="single" w:color="auto" w:sz="4" w:space="0"/>
            </w:tcBorders>
            <w:vAlign w:val="center"/>
          </w:tcPr>
          <w:p>
            <w:pPr>
              <w:autoSpaceDN w:val="0"/>
              <w:spacing w:line="360" w:lineRule="auto"/>
              <w:textAlignment w:val="bottom"/>
              <w:rPr>
                <w:rFonts w:eastAsia="仿宋_GB2312"/>
                <w:color w:val="000000"/>
                <w:sz w:val="24"/>
              </w:rPr>
            </w:pPr>
            <w:r>
              <w:rPr>
                <w:rFonts w:eastAsia="仿宋_GB2312"/>
                <w:color w:val="000000"/>
                <w:sz w:val="24"/>
              </w:rPr>
              <w:t>说明：</w:t>
            </w:r>
          </w:p>
          <w:p>
            <w:pPr>
              <w:autoSpaceDN w:val="0"/>
              <w:snapToGrid w:val="0"/>
              <w:textAlignment w:val="bottom"/>
              <w:rPr>
                <w:rFonts w:eastAsia="仿宋_GB2312"/>
                <w:color w:val="000000"/>
                <w:sz w:val="24"/>
              </w:rPr>
            </w:pPr>
            <w:r>
              <w:rPr>
                <w:rFonts w:eastAsia="仿宋_GB2312"/>
                <w:color w:val="000000"/>
                <w:sz w:val="24"/>
              </w:rPr>
              <w:t>【1】非本研究方向的相关成果，按原档次分数的60%折算计入；非本一级学科内的相关成果，按原档次分数的30%折算计入；若为教育系统（教育部、各高等院校）举办的竞赛，则100%计算分数。</w:t>
            </w:r>
          </w:p>
          <w:p>
            <w:pPr>
              <w:autoSpaceDN w:val="0"/>
              <w:snapToGrid w:val="0"/>
              <w:textAlignment w:val="bottom"/>
              <w:rPr>
                <w:rFonts w:eastAsia="仿宋_GB2312"/>
                <w:color w:val="000000"/>
                <w:sz w:val="24"/>
              </w:rPr>
            </w:pPr>
            <w:r>
              <w:rPr>
                <w:rFonts w:eastAsia="仿宋_GB2312"/>
                <w:color w:val="000000"/>
                <w:sz w:val="24"/>
              </w:rPr>
              <w:t>【2】各类竞赛级别认定参看各赛事主办单位，若主办单位为各类民间组织或某网站，则按市级竞赛标准的50%加分。</w:t>
            </w:r>
          </w:p>
          <w:p>
            <w:pPr>
              <w:autoSpaceDN w:val="0"/>
              <w:snapToGrid w:val="0"/>
              <w:textAlignment w:val="bottom"/>
              <w:rPr>
                <w:rFonts w:eastAsia="仿宋_GB2312"/>
                <w:color w:val="000000"/>
                <w:sz w:val="24"/>
              </w:rPr>
            </w:pPr>
            <w:r>
              <w:rPr>
                <w:rFonts w:eastAsia="仿宋_GB2312"/>
                <w:color w:val="000000"/>
                <w:sz w:val="24"/>
              </w:rPr>
              <w:t>【3】政府奖，特指证书加盖含有国徽标志的各级政府公章的奖励。</w:t>
            </w:r>
          </w:p>
          <w:p>
            <w:pPr>
              <w:autoSpaceDN w:val="0"/>
              <w:snapToGrid w:val="0"/>
              <w:textAlignment w:val="bottom"/>
              <w:rPr>
                <w:rFonts w:eastAsia="仿宋_GB2312"/>
                <w:color w:val="000000"/>
                <w:sz w:val="24"/>
                <w:szCs w:val="24"/>
              </w:rPr>
            </w:pPr>
            <w:r>
              <w:rPr>
                <w:rFonts w:eastAsia="仿宋_GB2312"/>
                <w:color w:val="000000"/>
                <w:sz w:val="24"/>
              </w:rPr>
              <w:t>【4】合作</w:t>
            </w:r>
            <w:r>
              <w:rPr>
                <w:rFonts w:eastAsia="仿宋_GB2312"/>
                <w:color w:val="000000"/>
                <w:sz w:val="24"/>
                <w:szCs w:val="24"/>
              </w:rPr>
              <w:t>获奖成果，得分均按位次核算，排名第二以下依次为40%、30%、20%、10%、5%。排名获奖证书署名或有效文件公布排名为准。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textAlignment w:val="bottom"/>
              <w:rPr>
                <w:rFonts w:eastAsia="仿宋_GB2312"/>
                <w:b/>
                <w:color w:val="000000"/>
                <w:sz w:val="24"/>
              </w:rPr>
            </w:pPr>
            <w:r>
              <w:rPr>
                <w:rFonts w:eastAsia="仿宋_GB2312"/>
                <w:b/>
                <w:color w:val="000000"/>
                <w:sz w:val="24"/>
              </w:rPr>
              <w:t>类别</w:t>
            </w:r>
          </w:p>
        </w:tc>
        <w:tc>
          <w:tcPr>
            <w:tcW w:w="3261"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textAlignment w:val="bottom"/>
              <w:rPr>
                <w:rFonts w:eastAsia="仿宋_GB2312"/>
                <w:b/>
                <w:color w:val="000000"/>
                <w:sz w:val="24"/>
              </w:rPr>
            </w:pPr>
            <w:r>
              <w:rPr>
                <w:rFonts w:eastAsia="仿宋_GB2312"/>
                <w:b/>
                <w:color w:val="000000"/>
                <w:sz w:val="24"/>
              </w:rPr>
              <w:t>科研成果</w:t>
            </w:r>
          </w:p>
        </w:tc>
        <w:tc>
          <w:tcPr>
            <w:tcW w:w="1984"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textAlignment w:val="bottom"/>
              <w:rPr>
                <w:rFonts w:eastAsia="仿宋_GB2312"/>
                <w:b/>
                <w:color w:val="000000"/>
                <w:sz w:val="24"/>
              </w:rPr>
            </w:pPr>
            <w:r>
              <w:rPr>
                <w:rFonts w:eastAsia="仿宋_GB2312"/>
                <w:b/>
                <w:color w:val="000000"/>
                <w:sz w:val="24"/>
              </w:rPr>
              <w:t>分值</w:t>
            </w:r>
          </w:p>
        </w:tc>
        <w:tc>
          <w:tcPr>
            <w:tcW w:w="2268"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textAlignment w:val="bottom"/>
              <w:rPr>
                <w:rFonts w:eastAsia="仿宋_GB2312"/>
                <w:b/>
                <w:color w:val="000000"/>
                <w:sz w:val="24"/>
              </w:rPr>
            </w:pPr>
            <w:r>
              <w:rPr>
                <w:rFonts w:eastAsia="仿宋_GB2312"/>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242" w:type="dxa"/>
            <w:gridSpan w:val="2"/>
            <w:vMerge w:val="restart"/>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textAlignment w:val="bottom"/>
              <w:rPr>
                <w:rFonts w:eastAsia="仿宋_GB2312"/>
                <w:b/>
                <w:color w:val="000000"/>
                <w:sz w:val="24"/>
              </w:rPr>
            </w:pPr>
            <w:r>
              <w:rPr>
                <w:rFonts w:eastAsia="仿宋_GB2312"/>
                <w:b/>
                <w:color w:val="000000"/>
                <w:sz w:val="24"/>
              </w:rPr>
              <w:t>课题、项目类</w:t>
            </w:r>
          </w:p>
        </w:tc>
        <w:tc>
          <w:tcPr>
            <w:tcW w:w="3261"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textAlignment w:val="bottom"/>
              <w:rPr>
                <w:rFonts w:eastAsia="仿宋_GB2312"/>
                <w:color w:val="000000"/>
                <w:sz w:val="24"/>
              </w:rPr>
            </w:pPr>
            <w:r>
              <w:rPr>
                <w:rFonts w:eastAsia="仿宋_GB2312"/>
                <w:color w:val="000000"/>
                <w:sz w:val="24"/>
              </w:rPr>
              <w:t>校级创新基金</w:t>
            </w:r>
          </w:p>
        </w:tc>
        <w:tc>
          <w:tcPr>
            <w:tcW w:w="1984"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textAlignment w:val="bottom"/>
              <w:rPr>
                <w:rFonts w:eastAsia="仿宋_GB2312"/>
                <w:color w:val="000000"/>
                <w:sz w:val="24"/>
              </w:rPr>
            </w:pPr>
            <w:r>
              <w:rPr>
                <w:rFonts w:eastAsia="仿宋_GB2312"/>
                <w:color w:val="000000"/>
                <w:sz w:val="24"/>
              </w:rPr>
              <w:t>2</w:t>
            </w:r>
          </w:p>
        </w:tc>
        <w:tc>
          <w:tcPr>
            <w:tcW w:w="2268" w:type="dxa"/>
            <w:gridSpan w:val="3"/>
            <w:vMerge w:val="restart"/>
            <w:tcBorders>
              <w:top w:val="single" w:color="auto" w:sz="4" w:space="0"/>
              <w:left w:val="single" w:color="auto" w:sz="4" w:space="0"/>
              <w:bottom w:val="single" w:color="auto" w:sz="4" w:space="0"/>
              <w:right w:val="single" w:color="auto" w:sz="4" w:space="0"/>
            </w:tcBorders>
            <w:vAlign w:val="center"/>
          </w:tcPr>
          <w:p>
            <w:pPr>
              <w:autoSpaceDN w:val="0"/>
              <w:snapToGrid w:val="0"/>
              <w:textAlignment w:val="bottom"/>
              <w:rPr>
                <w:rFonts w:eastAsia="仿宋_GB2312"/>
                <w:color w:val="000000"/>
                <w:szCs w:val="21"/>
              </w:rPr>
            </w:pPr>
            <w:r>
              <w:rPr>
                <w:rFonts w:eastAsia="仿宋_GB2312"/>
                <w:color w:val="000000"/>
                <w:szCs w:val="21"/>
              </w:rPr>
              <w:t>1．主持市厅级课题，分值20；主持省部级课题，分值50；主持国家级课题，分值100。</w:t>
            </w:r>
          </w:p>
          <w:p>
            <w:pPr>
              <w:autoSpaceDN w:val="0"/>
              <w:snapToGrid w:val="0"/>
              <w:textAlignment w:val="bottom"/>
              <w:rPr>
                <w:rFonts w:eastAsia="仿宋_GB2312"/>
                <w:color w:val="000000"/>
                <w:szCs w:val="21"/>
              </w:rPr>
            </w:pPr>
            <w:r>
              <w:rPr>
                <w:rFonts w:eastAsia="仿宋_GB2312"/>
                <w:color w:val="000000"/>
                <w:szCs w:val="21"/>
              </w:rPr>
              <w:t>2．课题组成员，各级课题得分均按位次核算，依次为50%、40%、30%、20%、10%、5%。</w:t>
            </w:r>
          </w:p>
          <w:p>
            <w:pPr>
              <w:autoSpaceDN w:val="0"/>
              <w:snapToGrid w:val="0"/>
              <w:textAlignment w:val="bottom"/>
              <w:rPr>
                <w:rFonts w:eastAsia="仿宋_GB2312"/>
                <w:b/>
                <w:color w:val="000000"/>
                <w:sz w:val="24"/>
              </w:rPr>
            </w:pPr>
            <w:r>
              <w:rPr>
                <w:rFonts w:eastAsia="仿宋_GB2312"/>
                <w:color w:val="000000"/>
                <w:szCs w:val="21"/>
              </w:rPr>
              <w:t>3．课题组排名，以申报书（并立项书）或结题证书署名（排名）为准。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sz w:val="24"/>
              </w:rPr>
            </w:pPr>
          </w:p>
        </w:tc>
        <w:tc>
          <w:tcPr>
            <w:tcW w:w="3261"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textAlignment w:val="bottom"/>
              <w:rPr>
                <w:rFonts w:eastAsia="仿宋_GB2312"/>
                <w:color w:val="000000"/>
                <w:sz w:val="24"/>
              </w:rPr>
            </w:pPr>
            <w:r>
              <w:rPr>
                <w:rFonts w:eastAsia="仿宋_GB2312"/>
                <w:color w:val="000000"/>
                <w:sz w:val="24"/>
              </w:rPr>
              <w:t>校级创业项目立项、创新种子</w:t>
            </w:r>
          </w:p>
        </w:tc>
        <w:tc>
          <w:tcPr>
            <w:tcW w:w="1984"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textAlignment w:val="bottom"/>
              <w:rPr>
                <w:rFonts w:eastAsia="仿宋_GB2312"/>
                <w:color w:val="000000"/>
                <w:sz w:val="24"/>
              </w:rPr>
            </w:pPr>
            <w:r>
              <w:rPr>
                <w:rFonts w:eastAsia="仿宋_GB2312"/>
                <w:color w:val="000000"/>
                <w:sz w:val="24"/>
              </w:rPr>
              <w:t>3</w:t>
            </w:r>
          </w:p>
        </w:tc>
        <w:tc>
          <w:tcPr>
            <w:tcW w:w="226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sz w:val="24"/>
              </w:rPr>
            </w:pPr>
          </w:p>
        </w:tc>
        <w:tc>
          <w:tcPr>
            <w:tcW w:w="3261"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textAlignment w:val="bottom"/>
              <w:rPr>
                <w:rFonts w:eastAsia="仿宋_GB2312"/>
                <w:color w:val="000000"/>
                <w:sz w:val="24"/>
              </w:rPr>
            </w:pPr>
            <w:r>
              <w:rPr>
                <w:rFonts w:eastAsia="仿宋_GB2312"/>
                <w:color w:val="000000"/>
                <w:sz w:val="24"/>
              </w:rPr>
              <w:t>校优秀论文培育、学术之星</w:t>
            </w:r>
          </w:p>
        </w:tc>
        <w:tc>
          <w:tcPr>
            <w:tcW w:w="1984"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textAlignment w:val="bottom"/>
              <w:rPr>
                <w:rFonts w:eastAsia="仿宋_GB2312"/>
                <w:color w:val="000000"/>
                <w:sz w:val="24"/>
              </w:rPr>
            </w:pPr>
            <w:r>
              <w:rPr>
                <w:rFonts w:eastAsia="仿宋_GB2312"/>
                <w:color w:val="000000"/>
                <w:sz w:val="24"/>
              </w:rPr>
              <w:t>4</w:t>
            </w:r>
          </w:p>
        </w:tc>
        <w:tc>
          <w:tcPr>
            <w:tcW w:w="226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sz w:val="24"/>
              </w:rPr>
            </w:pPr>
          </w:p>
        </w:tc>
        <w:tc>
          <w:tcPr>
            <w:tcW w:w="3261"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textAlignment w:val="bottom"/>
              <w:rPr>
                <w:rFonts w:eastAsia="仿宋_GB2312"/>
                <w:color w:val="000000"/>
                <w:sz w:val="24"/>
              </w:rPr>
            </w:pPr>
            <w:r>
              <w:rPr>
                <w:rFonts w:eastAsia="仿宋_GB2312"/>
                <w:color w:val="000000"/>
                <w:sz w:val="24"/>
              </w:rPr>
              <w:t>校新苗人才计划</w:t>
            </w:r>
          </w:p>
        </w:tc>
        <w:tc>
          <w:tcPr>
            <w:tcW w:w="1984"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textAlignment w:val="bottom"/>
              <w:rPr>
                <w:rFonts w:eastAsia="仿宋_GB2312"/>
                <w:color w:val="000000"/>
                <w:sz w:val="24"/>
              </w:rPr>
            </w:pPr>
            <w:r>
              <w:rPr>
                <w:rFonts w:eastAsia="仿宋_GB2312"/>
                <w:color w:val="000000"/>
                <w:sz w:val="24"/>
              </w:rPr>
              <w:t>5</w:t>
            </w:r>
          </w:p>
        </w:tc>
        <w:tc>
          <w:tcPr>
            <w:tcW w:w="226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sz w:val="24"/>
              </w:rPr>
            </w:pPr>
          </w:p>
        </w:tc>
        <w:tc>
          <w:tcPr>
            <w:tcW w:w="3261"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textAlignment w:val="bottom"/>
              <w:rPr>
                <w:rFonts w:eastAsia="仿宋_GB2312"/>
                <w:color w:val="000000"/>
                <w:sz w:val="24"/>
              </w:rPr>
            </w:pPr>
            <w:r>
              <w:rPr>
                <w:rFonts w:eastAsia="仿宋_GB2312"/>
                <w:color w:val="000000"/>
                <w:sz w:val="24"/>
              </w:rPr>
              <w:t>校级课题立项</w:t>
            </w:r>
          </w:p>
        </w:tc>
        <w:tc>
          <w:tcPr>
            <w:tcW w:w="1984"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textAlignment w:val="bottom"/>
              <w:rPr>
                <w:rFonts w:eastAsia="仿宋_GB2312"/>
                <w:color w:val="000000"/>
                <w:sz w:val="24"/>
              </w:rPr>
            </w:pPr>
            <w:r>
              <w:rPr>
                <w:rFonts w:eastAsia="仿宋_GB2312"/>
                <w:color w:val="000000"/>
                <w:sz w:val="24"/>
              </w:rPr>
              <w:t>10</w:t>
            </w:r>
          </w:p>
        </w:tc>
        <w:tc>
          <w:tcPr>
            <w:tcW w:w="226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b/>
                <w:color w:val="000000"/>
                <w:sz w:val="24"/>
              </w:rPr>
            </w:pPr>
          </w:p>
        </w:tc>
      </w:tr>
    </w:tbl>
    <w:p>
      <w:pPr>
        <w:autoSpaceDN w:val="0"/>
        <w:spacing w:line="360" w:lineRule="auto"/>
        <w:jc w:val="left"/>
        <w:textAlignment w:val="bottom"/>
        <w:rPr>
          <w:b/>
          <w:color w:val="000000"/>
          <w:sz w:val="24"/>
        </w:rPr>
      </w:pPr>
      <w:r>
        <w:rPr>
          <w:b/>
          <w:color w:val="000000"/>
          <w:sz w:val="24"/>
        </w:rPr>
        <w:t>3．社会工作、社会活动、各类荣誉加分计算</w:t>
      </w:r>
    </w:p>
    <w:tbl>
      <w:tblPr>
        <w:tblStyle w:val="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701"/>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textAlignment w:val="bottom"/>
              <w:rPr>
                <w:rFonts w:eastAsia="仿宋_GB2312"/>
                <w:b/>
                <w:color w:val="000000"/>
                <w:sz w:val="24"/>
              </w:rPr>
            </w:pPr>
            <w:r>
              <w:rPr>
                <w:rFonts w:eastAsia="仿宋_GB2312"/>
                <w:b/>
                <w:color w:val="000000"/>
                <w:sz w:val="24"/>
              </w:rPr>
              <w:t>活动、任职</w:t>
            </w:r>
          </w:p>
        </w:tc>
        <w:tc>
          <w:tcPr>
            <w:tcW w:w="1701"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textAlignment w:val="bottom"/>
              <w:rPr>
                <w:rFonts w:eastAsia="仿宋_GB2312"/>
                <w:b/>
                <w:color w:val="000000"/>
                <w:sz w:val="24"/>
              </w:rPr>
            </w:pPr>
            <w:r>
              <w:rPr>
                <w:rFonts w:eastAsia="仿宋_GB2312"/>
                <w:b/>
                <w:color w:val="000000"/>
                <w:sz w:val="24"/>
              </w:rPr>
              <w:t>分值</w:t>
            </w:r>
          </w:p>
        </w:tc>
        <w:tc>
          <w:tcPr>
            <w:tcW w:w="3260"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textAlignment w:val="bottom"/>
              <w:rPr>
                <w:rFonts w:eastAsia="仿宋_GB2312"/>
                <w:b/>
                <w:color w:val="000000"/>
                <w:sz w:val="24"/>
              </w:rPr>
            </w:pPr>
            <w:r>
              <w:rPr>
                <w:rFonts w:eastAsia="仿宋_GB2312"/>
                <w:b/>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3794"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 w:val="24"/>
              </w:rPr>
            </w:pPr>
            <w:r>
              <w:rPr>
                <w:rFonts w:eastAsia="仿宋_GB2312"/>
                <w:color w:val="000000"/>
                <w:sz w:val="24"/>
              </w:rPr>
              <w:t>班长、团支书、党支部书记、研会主席团、部长</w:t>
            </w:r>
            <w:r>
              <w:rPr>
                <w:rFonts w:hint="eastAsia" w:eastAsia="仿宋_GB2312"/>
                <w:color w:val="000000"/>
                <w:sz w:val="24"/>
              </w:rPr>
              <w:t>、兼职辅导员</w:t>
            </w:r>
          </w:p>
        </w:tc>
        <w:tc>
          <w:tcPr>
            <w:tcW w:w="1701"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 w:val="24"/>
              </w:rPr>
            </w:pPr>
            <w:r>
              <w:rPr>
                <w:rFonts w:eastAsia="仿宋_GB2312"/>
                <w:color w:val="000000"/>
                <w:sz w:val="24"/>
              </w:rPr>
              <w:t>优秀4；良好3；一般2</w:t>
            </w:r>
          </w:p>
        </w:tc>
        <w:tc>
          <w:tcPr>
            <w:tcW w:w="3260" w:type="dxa"/>
            <w:vMerge w:val="restart"/>
            <w:tcBorders>
              <w:top w:val="single" w:color="auto" w:sz="4" w:space="0"/>
              <w:left w:val="single" w:color="auto" w:sz="4" w:space="0"/>
              <w:bottom w:val="single" w:color="auto" w:sz="4" w:space="0"/>
              <w:right w:val="single" w:color="auto" w:sz="4" w:space="0"/>
            </w:tcBorders>
            <w:vAlign w:val="center"/>
          </w:tcPr>
          <w:p>
            <w:pPr>
              <w:autoSpaceDN w:val="0"/>
              <w:snapToGrid w:val="0"/>
              <w:jc w:val="left"/>
              <w:textAlignment w:val="bottom"/>
              <w:rPr>
                <w:rFonts w:eastAsia="仿宋_GB2312"/>
                <w:color w:val="000000"/>
                <w:sz w:val="24"/>
              </w:rPr>
            </w:pPr>
            <w:r>
              <w:rPr>
                <w:rFonts w:eastAsia="仿宋_GB2312"/>
                <w:color w:val="000000"/>
                <w:sz w:val="24"/>
              </w:rPr>
              <w:t>任职加分取最高职务加分，获得优秀学生干部的另加1分；以上均为一年任期计算，若任期不满一年，则按50%折算计分。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 w:val="24"/>
              </w:rPr>
            </w:pPr>
            <w:r>
              <w:rPr>
                <w:rFonts w:eastAsia="仿宋_GB2312"/>
                <w:color w:val="000000"/>
                <w:sz w:val="24"/>
              </w:rPr>
              <w:t>班委、党（团）支委、研会副部长</w:t>
            </w:r>
          </w:p>
        </w:tc>
        <w:tc>
          <w:tcPr>
            <w:tcW w:w="1701"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 w:val="24"/>
              </w:rPr>
            </w:pPr>
            <w:r>
              <w:rPr>
                <w:rFonts w:eastAsia="仿宋_GB2312"/>
                <w:color w:val="000000"/>
                <w:sz w:val="24"/>
              </w:rPr>
              <w:t>优秀3；良好2；一般1</w:t>
            </w: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 w:val="24"/>
              </w:rPr>
            </w:pPr>
            <w:r>
              <w:rPr>
                <w:rFonts w:eastAsia="仿宋_GB2312"/>
                <w:color w:val="000000"/>
                <w:sz w:val="24"/>
              </w:rPr>
              <w:t>研会干事</w:t>
            </w:r>
          </w:p>
        </w:tc>
        <w:tc>
          <w:tcPr>
            <w:tcW w:w="1701"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 w:val="24"/>
              </w:rPr>
            </w:pPr>
            <w:r>
              <w:rPr>
                <w:rFonts w:eastAsia="仿宋_GB2312"/>
                <w:color w:val="000000"/>
                <w:sz w:val="24"/>
              </w:rPr>
              <w:t>优秀2；良好1；一般0</w:t>
            </w:r>
          </w:p>
        </w:tc>
        <w:tc>
          <w:tcPr>
            <w:tcW w:w="3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 w:val="24"/>
              </w:rPr>
            </w:pPr>
            <w:r>
              <w:rPr>
                <w:rFonts w:eastAsia="仿宋_GB2312"/>
                <w:color w:val="000000"/>
                <w:sz w:val="24"/>
              </w:rPr>
              <w:t>各类课外活动获奖</w:t>
            </w:r>
          </w:p>
        </w:tc>
        <w:tc>
          <w:tcPr>
            <w:tcW w:w="1701"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 w:val="24"/>
              </w:rPr>
            </w:pPr>
            <w:r>
              <w:rPr>
                <w:rFonts w:eastAsia="仿宋_GB2312"/>
                <w:color w:val="000000"/>
                <w:sz w:val="24"/>
              </w:rPr>
              <w:t>国家级5；省级4；市级3；校级2、院级1</w:t>
            </w:r>
          </w:p>
        </w:tc>
        <w:tc>
          <w:tcPr>
            <w:tcW w:w="3260" w:type="dxa"/>
            <w:tcBorders>
              <w:top w:val="single" w:color="auto" w:sz="4" w:space="0"/>
              <w:left w:val="single" w:color="auto" w:sz="4" w:space="0"/>
              <w:bottom w:val="single" w:color="auto" w:sz="4" w:space="0"/>
              <w:right w:val="single" w:color="auto" w:sz="4" w:space="0"/>
            </w:tcBorders>
            <w:vAlign w:val="center"/>
          </w:tcPr>
          <w:p>
            <w:pPr>
              <w:autoSpaceDN w:val="0"/>
              <w:snapToGrid w:val="0"/>
              <w:jc w:val="center"/>
              <w:textAlignment w:val="bottom"/>
              <w:rPr>
                <w:rFonts w:eastAsia="仿宋_GB2312"/>
                <w:color w:val="000000"/>
                <w:sz w:val="24"/>
              </w:rPr>
            </w:pPr>
            <w:r>
              <w:rPr>
                <w:rFonts w:eastAsia="仿宋_GB2312"/>
                <w:color w:val="000000"/>
                <w:sz w:val="24"/>
              </w:rPr>
              <w:t>需提供相关机构、组织颁发的荣誉证书，累计加分不超过5分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textAlignment w:val="bottom"/>
              <w:rPr>
                <w:rFonts w:eastAsia="仿宋_GB2312"/>
                <w:color w:val="000000"/>
                <w:sz w:val="24"/>
              </w:rPr>
            </w:pPr>
            <w:r>
              <w:rPr>
                <w:rFonts w:eastAsia="仿宋_GB2312"/>
                <w:color w:val="000000"/>
                <w:sz w:val="24"/>
              </w:rPr>
              <w:t>参加各类志愿服务</w:t>
            </w:r>
          </w:p>
        </w:tc>
        <w:tc>
          <w:tcPr>
            <w:tcW w:w="1701"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textAlignment w:val="bottom"/>
              <w:rPr>
                <w:rFonts w:eastAsia="仿宋_GB2312"/>
                <w:color w:val="000000"/>
                <w:sz w:val="24"/>
              </w:rPr>
            </w:pPr>
            <w:r>
              <w:rPr>
                <w:rFonts w:eastAsia="仿宋_GB2312"/>
                <w:color w:val="000000"/>
                <w:sz w:val="24"/>
              </w:rPr>
              <w:t>2</w:t>
            </w:r>
          </w:p>
        </w:tc>
        <w:tc>
          <w:tcPr>
            <w:tcW w:w="3260" w:type="dxa"/>
            <w:tcBorders>
              <w:top w:val="single" w:color="auto" w:sz="4" w:space="0"/>
              <w:left w:val="single" w:color="auto" w:sz="4" w:space="0"/>
              <w:bottom w:val="single" w:color="auto" w:sz="4" w:space="0"/>
              <w:right w:val="single" w:color="auto" w:sz="4" w:space="0"/>
            </w:tcBorders>
            <w:vAlign w:val="center"/>
          </w:tcPr>
          <w:p>
            <w:pPr>
              <w:autoSpaceDN w:val="0"/>
              <w:spacing w:line="360" w:lineRule="auto"/>
              <w:jc w:val="center"/>
              <w:textAlignment w:val="bottom"/>
              <w:rPr>
                <w:rFonts w:eastAsia="仿宋_GB2312"/>
                <w:color w:val="000000"/>
                <w:sz w:val="24"/>
              </w:rPr>
            </w:pPr>
            <w:r>
              <w:rPr>
                <w:rFonts w:eastAsia="仿宋_GB2312"/>
                <w:color w:val="000000"/>
                <w:sz w:val="24"/>
              </w:rPr>
              <w:t>需提供相关机构、组织的书面证明材料，累计加分最高不超过4分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55" w:type="dxa"/>
            <w:gridSpan w:val="3"/>
            <w:tcBorders>
              <w:top w:val="single" w:color="auto" w:sz="4" w:space="0"/>
              <w:left w:val="single" w:color="auto" w:sz="4" w:space="0"/>
              <w:bottom w:val="single" w:color="auto" w:sz="4" w:space="0"/>
              <w:right w:val="single" w:color="auto" w:sz="4" w:space="0"/>
            </w:tcBorders>
            <w:vAlign w:val="center"/>
          </w:tcPr>
          <w:p>
            <w:pPr>
              <w:autoSpaceDN w:val="0"/>
              <w:spacing w:line="360" w:lineRule="auto"/>
              <w:textAlignment w:val="bottom"/>
              <w:rPr>
                <w:rFonts w:eastAsia="仿宋_GB2312"/>
                <w:color w:val="000000"/>
                <w:sz w:val="24"/>
              </w:rPr>
            </w:pPr>
            <w:r>
              <w:rPr>
                <w:rFonts w:eastAsia="仿宋_GB2312"/>
                <w:color w:val="000000"/>
                <w:sz w:val="24"/>
              </w:rPr>
              <w:t>说明：</w:t>
            </w:r>
          </w:p>
          <w:p>
            <w:pPr>
              <w:autoSpaceDN w:val="0"/>
              <w:spacing w:line="360" w:lineRule="auto"/>
              <w:textAlignment w:val="bottom"/>
              <w:rPr>
                <w:rFonts w:eastAsia="仿宋_GB2312"/>
                <w:color w:val="000000"/>
                <w:sz w:val="24"/>
              </w:rPr>
            </w:pPr>
            <w:r>
              <w:rPr>
                <w:rFonts w:eastAsia="仿宋_GB2312"/>
                <w:color w:val="000000"/>
                <w:sz w:val="24"/>
              </w:rPr>
              <w:t>【1】学生干部各等级评定由其所在组织（班级）全体成员投票；优秀、良好、一般的人数分别为各组织（班级）学生干部总数的20%、40%、40%。</w:t>
            </w:r>
          </w:p>
          <w:p>
            <w:pPr>
              <w:autoSpaceDN w:val="0"/>
              <w:spacing w:line="360" w:lineRule="auto"/>
              <w:textAlignment w:val="bottom"/>
              <w:rPr>
                <w:rFonts w:eastAsia="仿宋_GB2312"/>
                <w:color w:val="000000"/>
                <w:sz w:val="24"/>
              </w:rPr>
            </w:pPr>
            <w:r>
              <w:rPr>
                <w:rFonts w:eastAsia="仿宋_GB2312"/>
                <w:color w:val="000000"/>
                <w:sz w:val="24"/>
              </w:rPr>
              <w:t>【2】各类课外活动指专业学习以外的各类文体活动，若是团体获奖，则按50%折算分数。各类实习见习、指导获奖、协助老师完成的事务等均不在加分范围内。</w:t>
            </w:r>
          </w:p>
        </w:tc>
      </w:tr>
    </w:tbl>
    <w:p>
      <w:pPr>
        <w:autoSpaceDN w:val="0"/>
        <w:spacing w:line="360" w:lineRule="auto"/>
        <w:jc w:val="left"/>
        <w:textAlignment w:val="bottom"/>
        <w:rPr>
          <w:color w:val="000000"/>
          <w:sz w:val="24"/>
        </w:rPr>
      </w:pPr>
      <w:r>
        <w:rPr>
          <w:b/>
          <w:color w:val="000000"/>
          <w:sz w:val="24"/>
        </w:rPr>
        <w:t>4．总分</w:t>
      </w:r>
      <w:r>
        <w:rPr>
          <w:color w:val="000000"/>
          <w:sz w:val="24"/>
        </w:rPr>
        <w:t>=课程分*0.2+科研分*0.5+（各类获奖荣誉+社会工作、社会活动）分*0.3。</w:t>
      </w:r>
    </w:p>
    <w:p>
      <w:pPr>
        <w:autoSpaceDN w:val="0"/>
        <w:spacing w:line="360" w:lineRule="auto"/>
        <w:ind w:firstLine="482" w:firstLineChars="200"/>
        <w:jc w:val="left"/>
        <w:textAlignment w:val="bottom"/>
        <w:rPr>
          <w:b/>
          <w:color w:val="000000"/>
          <w:sz w:val="24"/>
        </w:rPr>
      </w:pPr>
      <w:r>
        <w:rPr>
          <w:b/>
          <w:color w:val="000000"/>
          <w:sz w:val="24"/>
        </w:rPr>
        <w:t>备注：</w:t>
      </w:r>
    </w:p>
    <w:p>
      <w:pPr>
        <w:pStyle w:val="10"/>
        <w:numPr>
          <w:ilvl w:val="0"/>
          <w:numId w:val="1"/>
        </w:numPr>
        <w:autoSpaceDN w:val="0"/>
        <w:spacing w:line="360" w:lineRule="auto"/>
        <w:ind w:firstLineChars="0"/>
        <w:jc w:val="left"/>
        <w:textAlignment w:val="bottom"/>
        <w:rPr>
          <w:color w:val="000000"/>
          <w:sz w:val="24"/>
        </w:rPr>
      </w:pPr>
      <w:r>
        <w:rPr>
          <w:color w:val="000000"/>
          <w:sz w:val="24"/>
        </w:rPr>
        <w:t>总分相同情况下，优先参考科研分值。</w:t>
      </w:r>
    </w:p>
    <w:p>
      <w:pPr>
        <w:pStyle w:val="10"/>
        <w:numPr>
          <w:ilvl w:val="0"/>
          <w:numId w:val="1"/>
        </w:numPr>
        <w:autoSpaceDN w:val="0"/>
        <w:spacing w:line="360" w:lineRule="auto"/>
        <w:ind w:firstLineChars="0"/>
        <w:jc w:val="left"/>
        <w:textAlignment w:val="bottom"/>
        <w:rPr>
          <w:color w:val="000000"/>
          <w:sz w:val="24"/>
        </w:rPr>
      </w:pPr>
      <w:r>
        <w:rPr>
          <w:color w:val="000000"/>
          <w:sz w:val="24"/>
        </w:rPr>
        <w:t>经亨颐奖学金在当年获一等学业奖学金人选中产生，综合考虑其科研成果水平和含金量、科研能力、创新精神等。</w:t>
      </w:r>
    </w:p>
    <w:p>
      <w:pPr>
        <w:pStyle w:val="10"/>
        <w:numPr>
          <w:ilvl w:val="0"/>
          <w:numId w:val="1"/>
        </w:numPr>
        <w:autoSpaceDN w:val="0"/>
        <w:spacing w:line="360" w:lineRule="auto"/>
        <w:ind w:firstLineChars="0"/>
        <w:jc w:val="left"/>
        <w:textAlignment w:val="bottom"/>
        <w:rPr>
          <w:color w:val="000000"/>
          <w:sz w:val="24"/>
        </w:rPr>
      </w:pPr>
      <w:r>
        <w:rPr>
          <w:color w:val="000000"/>
          <w:sz w:val="24"/>
        </w:rPr>
        <w:t>研究生就读期间，出现任何违纪违规行为将采取</w:t>
      </w:r>
      <w:r>
        <w:rPr>
          <w:b/>
          <w:color w:val="000000"/>
          <w:sz w:val="24"/>
          <w:u w:val="single"/>
        </w:rPr>
        <w:t>一票否决制</w:t>
      </w:r>
      <w:r>
        <w:rPr>
          <w:color w:val="000000"/>
          <w:sz w:val="24"/>
        </w:rPr>
        <w:t>。（具体包括旷课、寝室违纪违规被通报批评，及学生手册规定的其他情节）</w:t>
      </w:r>
    </w:p>
    <w:p>
      <w:pPr>
        <w:rPr>
          <w:b/>
          <w:sz w:val="24"/>
          <w:szCs w:val="24"/>
        </w:rPr>
      </w:pPr>
    </w:p>
    <w:p>
      <w:pPr>
        <w:numPr>
          <w:ilvl w:val="0"/>
          <w:numId w:val="2"/>
        </w:numPr>
        <w:rPr>
          <w:color w:val="000000"/>
          <w:sz w:val="24"/>
        </w:rPr>
      </w:pPr>
      <w:r>
        <w:rPr>
          <w:rFonts w:hint="eastAsia"/>
          <w:color w:val="000000"/>
          <w:sz w:val="24"/>
        </w:rPr>
        <w:t>评选条件</w:t>
      </w:r>
    </w:p>
    <w:p>
      <w:pPr>
        <w:numPr>
          <w:ilvl w:val="0"/>
          <w:numId w:val="3"/>
        </w:numPr>
        <w:spacing w:line="360" w:lineRule="auto"/>
        <w:rPr>
          <w:color w:val="000000"/>
          <w:sz w:val="24"/>
        </w:rPr>
      </w:pPr>
      <w:r>
        <w:rPr>
          <w:rFonts w:hint="eastAsia"/>
          <w:b/>
          <w:bCs/>
          <w:color w:val="000000"/>
          <w:sz w:val="24"/>
        </w:rPr>
        <w:t>国家奖学金</w:t>
      </w:r>
    </w:p>
    <w:p>
      <w:pPr>
        <w:spacing w:line="360" w:lineRule="auto"/>
        <w:rPr>
          <w:color w:val="000000"/>
          <w:sz w:val="24"/>
        </w:rPr>
      </w:pPr>
      <w:r>
        <w:rPr>
          <w:rFonts w:hint="eastAsia"/>
          <w:b/>
          <w:bCs/>
          <w:color w:val="000000"/>
          <w:sz w:val="24"/>
        </w:rPr>
        <w:t xml:space="preserve">   学术学位研究生</w:t>
      </w:r>
      <w:r>
        <w:rPr>
          <w:rFonts w:hint="eastAsia"/>
          <w:color w:val="000000"/>
          <w:sz w:val="24"/>
        </w:rPr>
        <w:t>国家奖学金评选至少应符合下列条件之一：</w:t>
      </w:r>
    </w:p>
    <w:p>
      <w:pPr>
        <w:numPr>
          <w:ilvl w:val="0"/>
          <w:numId w:val="4"/>
        </w:numPr>
        <w:spacing w:line="360" w:lineRule="auto"/>
        <w:ind w:left="480"/>
        <w:rPr>
          <w:color w:val="000000"/>
          <w:sz w:val="24"/>
        </w:rPr>
      </w:pPr>
      <w:r>
        <w:rPr>
          <w:rFonts w:hint="eastAsia"/>
          <w:color w:val="000000"/>
          <w:sz w:val="24"/>
        </w:rPr>
        <w:t>在二级（人文社会学科）或SCI（理工医科）期刊上正是发表论文，期刊级别以论文发表时的杭州师范大学期刊定级标准为准；</w:t>
      </w:r>
    </w:p>
    <w:p>
      <w:pPr>
        <w:numPr>
          <w:ilvl w:val="0"/>
          <w:numId w:val="4"/>
        </w:numPr>
        <w:spacing w:line="360" w:lineRule="auto"/>
        <w:ind w:left="480"/>
        <w:rPr>
          <w:color w:val="000000"/>
          <w:sz w:val="24"/>
        </w:rPr>
      </w:pPr>
      <w:r>
        <w:rPr>
          <w:rFonts w:hint="eastAsia"/>
          <w:color w:val="000000"/>
          <w:sz w:val="24"/>
        </w:rPr>
        <w:t>出版C类及以上的专著、编著、译著和教材的；</w:t>
      </w:r>
    </w:p>
    <w:p>
      <w:pPr>
        <w:numPr>
          <w:ilvl w:val="0"/>
          <w:numId w:val="4"/>
        </w:numPr>
        <w:spacing w:line="360" w:lineRule="auto"/>
        <w:ind w:left="480"/>
        <w:rPr>
          <w:color w:val="000000"/>
          <w:sz w:val="24"/>
        </w:rPr>
      </w:pPr>
      <w:r>
        <w:rPr>
          <w:rFonts w:hint="eastAsia"/>
          <w:color w:val="000000"/>
          <w:sz w:val="24"/>
        </w:rPr>
        <w:t>获授权的国家发明专利的；</w:t>
      </w:r>
    </w:p>
    <w:p>
      <w:pPr>
        <w:numPr>
          <w:ilvl w:val="0"/>
          <w:numId w:val="4"/>
        </w:numPr>
        <w:spacing w:line="360" w:lineRule="auto"/>
        <w:ind w:left="480"/>
        <w:rPr>
          <w:color w:val="000000"/>
          <w:sz w:val="24"/>
        </w:rPr>
      </w:pPr>
      <w:r>
        <w:rPr>
          <w:rFonts w:hint="eastAsia"/>
          <w:color w:val="000000"/>
          <w:sz w:val="24"/>
        </w:rPr>
        <w:t>获学校认定的学科竞赛（主要包括《杭州师范大学研究生学科竞赛奖励项目（试行）》列举的各类竞赛，教育部学位与研究生教育发展中心主办的中国研究生创新实践系列大赛，全国各专业学位研究生教育指导委员会主办的专业技能大赛）省级二等奖及以上奖项的；</w:t>
      </w:r>
    </w:p>
    <w:p>
      <w:pPr>
        <w:numPr>
          <w:ilvl w:val="0"/>
          <w:numId w:val="4"/>
        </w:numPr>
        <w:spacing w:line="360" w:lineRule="auto"/>
        <w:ind w:left="480"/>
        <w:rPr>
          <w:color w:val="000000"/>
          <w:sz w:val="24"/>
        </w:rPr>
      </w:pPr>
      <w:r>
        <w:rPr>
          <w:rFonts w:hint="eastAsia"/>
          <w:color w:val="000000"/>
          <w:sz w:val="24"/>
        </w:rPr>
        <w:t>主持省级及以上的科研项目或经费达2万元以上的横向课题的；</w:t>
      </w:r>
    </w:p>
    <w:p>
      <w:pPr>
        <w:numPr>
          <w:ilvl w:val="0"/>
          <w:numId w:val="4"/>
        </w:numPr>
        <w:spacing w:line="360" w:lineRule="auto"/>
        <w:ind w:left="480"/>
        <w:rPr>
          <w:color w:val="000000"/>
          <w:sz w:val="24"/>
        </w:rPr>
      </w:pPr>
      <w:r>
        <w:rPr>
          <w:rFonts w:hint="eastAsia"/>
          <w:color w:val="000000"/>
          <w:sz w:val="24"/>
        </w:rPr>
        <w:t>在道德风尚、科学研究、创新研究、创新发明、社会实践、社会工作等某一方面表现特别优秀，得到社会广泛认可，获得省部级及以上奖励的。</w:t>
      </w:r>
    </w:p>
    <w:p>
      <w:pPr>
        <w:spacing w:line="360" w:lineRule="auto"/>
        <w:ind w:left="480"/>
        <w:rPr>
          <w:color w:val="000000"/>
          <w:sz w:val="24"/>
        </w:rPr>
      </w:pPr>
      <w:r>
        <w:rPr>
          <w:rFonts w:hint="eastAsia"/>
          <w:b/>
          <w:bCs/>
          <w:color w:val="000000"/>
          <w:sz w:val="24"/>
        </w:rPr>
        <w:t>专业学位研究生</w:t>
      </w:r>
      <w:r>
        <w:rPr>
          <w:rFonts w:hint="eastAsia"/>
          <w:color w:val="000000"/>
          <w:sz w:val="24"/>
        </w:rPr>
        <w:t>国家奖学金评选至少应符合下列条件之一：</w:t>
      </w:r>
    </w:p>
    <w:p>
      <w:pPr>
        <w:numPr>
          <w:ilvl w:val="0"/>
          <w:numId w:val="5"/>
        </w:numPr>
        <w:spacing w:line="360" w:lineRule="auto"/>
        <w:ind w:left="601"/>
        <w:rPr>
          <w:color w:val="000000"/>
          <w:sz w:val="24"/>
        </w:rPr>
      </w:pPr>
      <w:r>
        <w:rPr>
          <w:rFonts w:hint="eastAsia"/>
          <w:color w:val="000000"/>
          <w:sz w:val="24"/>
        </w:rPr>
        <w:t>符合学术学位研究生条件中任意一项的；</w:t>
      </w:r>
    </w:p>
    <w:p>
      <w:pPr>
        <w:numPr>
          <w:ilvl w:val="0"/>
          <w:numId w:val="5"/>
        </w:numPr>
        <w:spacing w:line="360" w:lineRule="auto"/>
        <w:ind w:left="601"/>
        <w:rPr>
          <w:color w:val="000000"/>
          <w:sz w:val="24"/>
        </w:rPr>
      </w:pPr>
      <w:r>
        <w:rPr>
          <w:rFonts w:hint="eastAsia"/>
          <w:color w:val="000000"/>
          <w:sz w:val="24"/>
        </w:rPr>
        <w:t>获得本学科、本领域或本行业内公认的、有影响力的专业技能竞赛最高层次二等奖及以上的；</w:t>
      </w:r>
    </w:p>
    <w:p>
      <w:pPr>
        <w:numPr>
          <w:ilvl w:val="0"/>
          <w:numId w:val="5"/>
        </w:numPr>
        <w:spacing w:line="360" w:lineRule="auto"/>
        <w:ind w:left="601"/>
        <w:rPr>
          <w:color w:val="000000"/>
          <w:sz w:val="24"/>
        </w:rPr>
      </w:pPr>
      <w:r>
        <w:rPr>
          <w:rFonts w:hint="eastAsia"/>
          <w:color w:val="000000"/>
          <w:sz w:val="24"/>
        </w:rPr>
        <w:t>专业实践研究成果获得地市级党委、政府或省级及以上部门批示、表彰或被采纳的。</w:t>
      </w:r>
    </w:p>
    <w:p>
      <w:pPr>
        <w:numPr>
          <w:ilvl w:val="0"/>
          <w:numId w:val="3"/>
        </w:numPr>
        <w:spacing w:line="360" w:lineRule="auto"/>
        <w:rPr>
          <w:b/>
          <w:bCs/>
          <w:color w:val="000000"/>
          <w:sz w:val="24"/>
        </w:rPr>
      </w:pPr>
      <w:r>
        <w:rPr>
          <w:rFonts w:hint="eastAsia"/>
          <w:b/>
          <w:bCs/>
          <w:color w:val="000000"/>
          <w:sz w:val="24"/>
        </w:rPr>
        <w:t>经亨颐奖学金</w:t>
      </w:r>
    </w:p>
    <w:p>
      <w:pPr>
        <w:spacing w:line="360" w:lineRule="auto"/>
        <w:ind w:left="601"/>
        <w:rPr>
          <w:color w:val="000000"/>
          <w:sz w:val="24"/>
        </w:rPr>
      </w:pPr>
      <w:r>
        <w:rPr>
          <w:rFonts w:hint="eastAsia"/>
          <w:color w:val="000000"/>
          <w:sz w:val="24"/>
        </w:rPr>
        <w:t>除具备奖学金评审基本条件外，还需具备以下条件之一：</w:t>
      </w:r>
    </w:p>
    <w:p>
      <w:pPr>
        <w:numPr>
          <w:ilvl w:val="0"/>
          <w:numId w:val="6"/>
        </w:numPr>
        <w:spacing w:line="360" w:lineRule="auto"/>
        <w:ind w:left="601"/>
        <w:rPr>
          <w:color w:val="000000"/>
          <w:sz w:val="24"/>
        </w:rPr>
      </w:pPr>
      <w:r>
        <w:rPr>
          <w:rFonts w:hint="eastAsia"/>
          <w:color w:val="000000"/>
          <w:sz w:val="24"/>
        </w:rPr>
        <w:t>学习勤奋，善于思考，学习成绩特别优异；在学术上有较深入的研究，有较强的科学研究能力和创新精神，并取得显著的成绩，发表过较高水平的学术论文或取得过较高水平的科研成果；参评当年获得研究生学业奖学金一等奖。</w:t>
      </w:r>
    </w:p>
    <w:p>
      <w:pPr>
        <w:numPr>
          <w:ilvl w:val="0"/>
          <w:numId w:val="6"/>
        </w:numPr>
        <w:spacing w:line="360" w:lineRule="auto"/>
        <w:ind w:left="601"/>
        <w:rPr>
          <w:color w:val="000000"/>
          <w:sz w:val="24"/>
        </w:rPr>
      </w:pPr>
      <w:r>
        <w:rPr>
          <w:rFonts w:hint="eastAsia"/>
          <w:color w:val="000000"/>
          <w:sz w:val="24"/>
        </w:rPr>
        <w:t>有较强的动手能力和分析问题、解决问题的能力，在教学活动、社会实践或学生工作中取得显著业绩。</w:t>
      </w:r>
    </w:p>
    <w:p>
      <w:pPr>
        <w:numPr>
          <w:ilvl w:val="0"/>
          <w:numId w:val="6"/>
        </w:numPr>
        <w:spacing w:line="360" w:lineRule="auto"/>
        <w:ind w:left="601"/>
        <w:rPr>
          <w:color w:val="000000"/>
          <w:sz w:val="24"/>
        </w:rPr>
      </w:pPr>
      <w:r>
        <w:rPr>
          <w:rFonts w:hint="eastAsia"/>
          <w:color w:val="000000"/>
          <w:sz w:val="24"/>
        </w:rPr>
        <w:t>在“挑战杯”竞赛中获得全国一等奖（含）以上成绩，团队限排名第一者。</w:t>
      </w:r>
    </w:p>
    <w:p>
      <w:pPr>
        <w:numPr>
          <w:ilvl w:val="0"/>
          <w:numId w:val="3"/>
        </w:numPr>
        <w:spacing w:line="360" w:lineRule="auto"/>
        <w:rPr>
          <w:b/>
          <w:bCs/>
          <w:color w:val="000000"/>
          <w:sz w:val="24"/>
        </w:rPr>
      </w:pPr>
      <w:r>
        <w:rPr>
          <w:rFonts w:hint="eastAsia"/>
          <w:b/>
          <w:bCs/>
          <w:color w:val="000000"/>
          <w:sz w:val="24"/>
        </w:rPr>
        <w:t>学业奖学金</w:t>
      </w:r>
    </w:p>
    <w:p>
      <w:pPr>
        <w:spacing w:line="360" w:lineRule="auto"/>
        <w:ind w:firstLine="720" w:firstLineChars="300"/>
        <w:rPr>
          <w:color w:val="000000"/>
          <w:sz w:val="24"/>
        </w:rPr>
      </w:pPr>
      <w:r>
        <w:rPr>
          <w:rFonts w:hint="eastAsia"/>
          <w:color w:val="000000"/>
          <w:sz w:val="24"/>
        </w:rPr>
        <w:t>有以下情况之一者，</w:t>
      </w:r>
      <w:r>
        <w:rPr>
          <w:rFonts w:hint="eastAsia"/>
          <w:b/>
          <w:bCs/>
          <w:color w:val="000000"/>
          <w:sz w:val="24"/>
        </w:rPr>
        <w:t>不予</w:t>
      </w:r>
      <w:r>
        <w:rPr>
          <w:rFonts w:hint="eastAsia"/>
          <w:color w:val="000000"/>
          <w:sz w:val="24"/>
        </w:rPr>
        <w:t>申请学业奖学金：</w:t>
      </w:r>
    </w:p>
    <w:p>
      <w:pPr>
        <w:numPr>
          <w:ilvl w:val="0"/>
          <w:numId w:val="7"/>
        </w:numPr>
        <w:spacing w:line="360" w:lineRule="auto"/>
        <w:ind w:firstLine="720" w:firstLineChars="300"/>
        <w:rPr>
          <w:color w:val="000000"/>
          <w:sz w:val="24"/>
        </w:rPr>
      </w:pPr>
      <w:r>
        <w:rPr>
          <w:rFonts w:hint="eastAsia"/>
          <w:color w:val="000000"/>
          <w:sz w:val="24"/>
        </w:rPr>
        <w:t>无正当理由不按时足额缴纳学费、住宿费者；</w:t>
      </w:r>
    </w:p>
    <w:p>
      <w:pPr>
        <w:numPr>
          <w:ilvl w:val="0"/>
          <w:numId w:val="7"/>
        </w:numPr>
        <w:spacing w:line="360" w:lineRule="auto"/>
        <w:ind w:firstLine="720" w:firstLineChars="300"/>
        <w:rPr>
          <w:color w:val="000000"/>
          <w:sz w:val="24"/>
        </w:rPr>
      </w:pPr>
      <w:r>
        <w:rPr>
          <w:rFonts w:hint="eastAsia"/>
          <w:color w:val="000000"/>
          <w:sz w:val="24"/>
        </w:rPr>
        <w:t>参评学年学籍状态处于休学、保留学籍或超出规定学制年限者；</w:t>
      </w:r>
    </w:p>
    <w:p>
      <w:pPr>
        <w:numPr>
          <w:ilvl w:val="0"/>
          <w:numId w:val="7"/>
        </w:numPr>
        <w:spacing w:line="360" w:lineRule="auto"/>
        <w:ind w:firstLine="720" w:firstLineChars="300"/>
        <w:rPr>
          <w:color w:val="000000"/>
          <w:sz w:val="24"/>
        </w:rPr>
      </w:pPr>
      <w:r>
        <w:rPr>
          <w:rFonts w:hint="eastAsia"/>
          <w:color w:val="000000"/>
          <w:sz w:val="24"/>
        </w:rPr>
        <w:t>在提交的申请资料中，提供不实信息或者隐瞒不利信息者；</w:t>
      </w:r>
    </w:p>
    <w:p>
      <w:pPr>
        <w:numPr>
          <w:ilvl w:val="0"/>
          <w:numId w:val="7"/>
        </w:numPr>
        <w:spacing w:line="360" w:lineRule="auto"/>
        <w:ind w:firstLine="720" w:firstLineChars="300"/>
        <w:rPr>
          <w:color w:val="000000"/>
          <w:sz w:val="24"/>
        </w:rPr>
      </w:pPr>
      <w:r>
        <w:rPr>
          <w:rFonts w:hint="eastAsia"/>
          <w:color w:val="000000"/>
          <w:sz w:val="24"/>
        </w:rPr>
        <w:t>违反学术道德规范或社会公德而造成不良影响者；</w:t>
      </w:r>
    </w:p>
    <w:p>
      <w:pPr>
        <w:numPr>
          <w:ilvl w:val="0"/>
          <w:numId w:val="7"/>
        </w:numPr>
        <w:spacing w:line="360" w:lineRule="auto"/>
        <w:ind w:firstLine="720" w:firstLineChars="300"/>
        <w:rPr>
          <w:color w:val="000000"/>
          <w:sz w:val="24"/>
        </w:rPr>
      </w:pPr>
      <w:r>
        <w:rPr>
          <w:rFonts w:hint="eastAsia"/>
          <w:color w:val="000000"/>
          <w:sz w:val="24"/>
        </w:rPr>
        <w:t>未通过中期考核或第二学年内未通过学位论文开题者；</w:t>
      </w:r>
    </w:p>
    <w:p>
      <w:pPr>
        <w:numPr>
          <w:ilvl w:val="0"/>
          <w:numId w:val="7"/>
        </w:numPr>
        <w:spacing w:line="360" w:lineRule="auto"/>
        <w:ind w:firstLine="720" w:firstLineChars="300"/>
        <w:rPr>
          <w:color w:val="000000"/>
          <w:sz w:val="24"/>
        </w:rPr>
      </w:pPr>
      <w:r>
        <w:rPr>
          <w:rFonts w:hint="eastAsia"/>
          <w:color w:val="000000"/>
          <w:sz w:val="24"/>
        </w:rPr>
        <w:t>触犯国家法律，受到法律制裁，或因违反校纪校规而受到处分者；</w:t>
      </w:r>
    </w:p>
    <w:p>
      <w:pPr>
        <w:numPr>
          <w:ilvl w:val="0"/>
          <w:numId w:val="7"/>
        </w:numPr>
        <w:spacing w:line="360" w:lineRule="auto"/>
        <w:ind w:firstLine="720" w:firstLineChars="300"/>
        <w:rPr>
          <w:color w:val="000000"/>
          <w:sz w:val="24"/>
        </w:rPr>
      </w:pPr>
      <w:r>
        <w:rPr>
          <w:rFonts w:hint="eastAsia"/>
          <w:color w:val="000000"/>
          <w:sz w:val="24"/>
        </w:rPr>
        <w:t>参评学年学习科目有不合格者；</w:t>
      </w:r>
    </w:p>
    <w:p>
      <w:pPr>
        <w:numPr>
          <w:ilvl w:val="0"/>
          <w:numId w:val="7"/>
        </w:numPr>
        <w:spacing w:line="360" w:lineRule="auto"/>
        <w:ind w:firstLine="720" w:firstLineChars="300"/>
        <w:rPr>
          <w:color w:val="000000"/>
          <w:sz w:val="24"/>
        </w:rPr>
      </w:pPr>
      <w:r>
        <w:rPr>
          <w:rFonts w:hint="eastAsia"/>
          <w:color w:val="000000"/>
          <w:sz w:val="24"/>
        </w:rPr>
        <w:t>考试作弊或参与作弊者；</w:t>
      </w:r>
    </w:p>
    <w:p>
      <w:pPr>
        <w:numPr>
          <w:ilvl w:val="0"/>
          <w:numId w:val="7"/>
        </w:numPr>
        <w:spacing w:line="360" w:lineRule="auto"/>
        <w:ind w:firstLine="720" w:firstLineChars="300"/>
        <w:rPr>
          <w:color w:val="000000"/>
          <w:sz w:val="24"/>
        </w:rPr>
      </w:pPr>
      <w:r>
        <w:rPr>
          <w:rFonts w:hint="eastAsia"/>
          <w:color w:val="000000"/>
          <w:sz w:val="24"/>
        </w:rPr>
        <w:t>不积极参加学校组织的各种集体活动者；</w:t>
      </w:r>
    </w:p>
    <w:p>
      <w:pPr>
        <w:numPr>
          <w:ilvl w:val="0"/>
          <w:numId w:val="7"/>
        </w:numPr>
        <w:spacing w:line="360" w:lineRule="auto"/>
        <w:ind w:firstLine="720" w:firstLineChars="300"/>
        <w:rPr>
          <w:color w:val="000000"/>
          <w:sz w:val="24"/>
        </w:rPr>
      </w:pPr>
      <w:r>
        <w:rPr>
          <w:rFonts w:hint="eastAsia"/>
          <w:color w:val="000000"/>
          <w:sz w:val="24"/>
        </w:rPr>
        <w:t>由研究生所在培养单位、倒是认定的其他不符合申请条件的。</w:t>
      </w:r>
    </w:p>
    <w:p>
      <w:pPr>
        <w:pStyle w:val="13"/>
        <w:widowControl/>
        <w:spacing w:line="360" w:lineRule="auto"/>
      </w:pPr>
      <w:r>
        <w:rPr>
          <w:rStyle w:val="12"/>
          <w:rFonts w:hint="eastAsia"/>
        </w:rPr>
        <w:t xml:space="preserve">    </w:t>
      </w:r>
      <w:r>
        <w:rPr>
          <w:rStyle w:val="12"/>
        </w:rPr>
        <w:t>二、三年级研究生学业奖学金评审依据研究生综合素质评价情况进行评审。参评学年未公开发表学术论文或未获得省级及以上学科竞赛二等奖及以上者，或在研究生综合素质评价中思想品德和实践活动任意一项得分低于基本分者，不能申请当年的学业奖学金一、二等奖。</w:t>
      </w:r>
    </w:p>
    <w:p>
      <w:pPr>
        <w:rPr>
          <w:color w:val="000000"/>
          <w:sz w:val="24"/>
        </w:rPr>
      </w:pPr>
    </w:p>
    <w:p>
      <w:pPr>
        <w:numPr>
          <w:ilvl w:val="0"/>
          <w:numId w:val="3"/>
        </w:numPr>
        <w:spacing w:line="360" w:lineRule="auto"/>
        <w:rPr>
          <w:b/>
          <w:bCs/>
          <w:color w:val="000000"/>
          <w:sz w:val="24"/>
        </w:rPr>
      </w:pPr>
      <w:r>
        <w:rPr>
          <w:rFonts w:hint="eastAsia"/>
          <w:b/>
          <w:bCs/>
          <w:color w:val="000000"/>
          <w:sz w:val="24"/>
        </w:rPr>
        <w:t>单项奖学金</w:t>
      </w:r>
    </w:p>
    <w:p>
      <w:pPr>
        <w:spacing w:line="360" w:lineRule="auto"/>
        <w:rPr>
          <w:color w:val="000000"/>
          <w:sz w:val="24"/>
        </w:rPr>
      </w:pPr>
      <w:r>
        <w:rPr>
          <w:rFonts w:hint="eastAsia"/>
          <w:color w:val="000000"/>
          <w:sz w:val="24"/>
        </w:rPr>
        <w:t xml:space="preserve">       （1）科研成果奖</w:t>
      </w:r>
    </w:p>
    <w:p>
      <w:pPr>
        <w:spacing w:line="360" w:lineRule="auto"/>
        <w:ind w:left="600"/>
        <w:rPr>
          <w:color w:val="000000"/>
          <w:sz w:val="24"/>
        </w:rPr>
      </w:pPr>
      <w:r>
        <w:rPr>
          <w:rFonts w:hint="eastAsia"/>
          <w:color w:val="000000"/>
          <w:sz w:val="24"/>
        </w:rPr>
        <w:t>用于奖励在校全日制研究生在导师指导下发表各类高水平论文、作品、专利或获得高水平的奖项等。其中高水平论文人文社科类要求在二级及以上刊物发表；高水平作品要求在全国性展览上发表或参展；高水平专利要求是发明专利；高水平奖项要求须在全国性比赛上获二等奖及以上。</w:t>
      </w:r>
    </w:p>
    <w:p>
      <w:pPr>
        <w:numPr>
          <w:ilvl w:val="0"/>
          <w:numId w:val="8"/>
        </w:numPr>
        <w:spacing w:line="360" w:lineRule="auto"/>
        <w:rPr>
          <w:color w:val="000000"/>
          <w:sz w:val="24"/>
        </w:rPr>
      </w:pPr>
      <w:r>
        <w:rPr>
          <w:rFonts w:hint="eastAsia"/>
          <w:color w:val="000000"/>
          <w:sz w:val="24"/>
        </w:rPr>
        <w:t>创新创业奖</w:t>
      </w:r>
    </w:p>
    <w:p>
      <w:pPr>
        <w:spacing w:line="360" w:lineRule="auto"/>
        <w:ind w:left="840"/>
        <w:rPr>
          <w:color w:val="000000"/>
          <w:sz w:val="24"/>
        </w:rPr>
      </w:pPr>
      <w:r>
        <w:rPr>
          <w:rFonts w:hint="eastAsia"/>
          <w:color w:val="000000"/>
          <w:sz w:val="24"/>
        </w:rPr>
        <w:t>用于奖励在创新创业和学科竞赛等方面取得一定成绩的研究生。</w:t>
      </w:r>
    </w:p>
    <w:p>
      <w:pPr>
        <w:numPr>
          <w:ilvl w:val="0"/>
          <w:numId w:val="8"/>
        </w:numPr>
        <w:spacing w:line="360" w:lineRule="auto"/>
        <w:rPr>
          <w:color w:val="000000"/>
          <w:sz w:val="24"/>
        </w:rPr>
      </w:pPr>
      <w:r>
        <w:rPr>
          <w:rFonts w:hint="eastAsia"/>
          <w:color w:val="000000"/>
          <w:sz w:val="24"/>
        </w:rPr>
        <w:t>社会工作奖</w:t>
      </w:r>
    </w:p>
    <w:p>
      <w:pPr>
        <w:spacing w:line="360" w:lineRule="auto"/>
        <w:ind w:left="840"/>
        <w:rPr>
          <w:color w:val="000000"/>
          <w:sz w:val="24"/>
        </w:rPr>
      </w:pPr>
      <w:r>
        <w:rPr>
          <w:rFonts w:hint="eastAsia"/>
          <w:color w:val="000000"/>
          <w:sz w:val="24"/>
        </w:rPr>
        <w:t>用于奖励参与社会服务工作和研究生会、研究生社团、助管、兼职辅导员等工作并作出较大贡献的研究生。</w:t>
      </w:r>
    </w:p>
    <w:p>
      <w:pPr>
        <w:numPr>
          <w:ilvl w:val="0"/>
          <w:numId w:val="8"/>
        </w:numPr>
        <w:spacing w:line="360" w:lineRule="auto"/>
        <w:rPr>
          <w:color w:val="000000"/>
          <w:sz w:val="24"/>
        </w:rPr>
      </w:pPr>
      <w:r>
        <w:rPr>
          <w:rFonts w:hint="eastAsia"/>
          <w:color w:val="000000"/>
          <w:sz w:val="24"/>
        </w:rPr>
        <w:t>文艺体育奖</w:t>
      </w:r>
    </w:p>
    <w:p>
      <w:pPr>
        <w:spacing w:line="360" w:lineRule="auto"/>
        <w:ind w:left="840"/>
        <w:rPr>
          <w:color w:val="000000"/>
          <w:sz w:val="24"/>
        </w:rPr>
      </w:pPr>
      <w:r>
        <w:rPr>
          <w:rFonts w:hint="eastAsia"/>
          <w:color w:val="000000"/>
          <w:sz w:val="24"/>
        </w:rPr>
        <w:t>用于奖励参与校外各类文艺、体育比赛，并获得省级以上各类比赛二等奖及以上的研究生。</w:t>
      </w:r>
    </w:p>
    <w:p>
      <w:pPr>
        <w:numPr>
          <w:ilvl w:val="0"/>
          <w:numId w:val="3"/>
        </w:numPr>
        <w:spacing w:line="360" w:lineRule="auto"/>
        <w:rPr>
          <w:b/>
          <w:bCs/>
          <w:color w:val="000000"/>
          <w:sz w:val="24"/>
        </w:rPr>
      </w:pPr>
      <w:r>
        <w:rPr>
          <w:rFonts w:hint="eastAsia"/>
          <w:b/>
          <w:bCs/>
          <w:color w:val="000000"/>
          <w:sz w:val="24"/>
        </w:rPr>
        <w:t>优秀研究生</w:t>
      </w:r>
    </w:p>
    <w:p>
      <w:pPr>
        <w:numPr>
          <w:ilvl w:val="0"/>
          <w:numId w:val="9"/>
        </w:numPr>
        <w:spacing w:line="360" w:lineRule="auto"/>
        <w:rPr>
          <w:color w:val="000000"/>
          <w:sz w:val="24"/>
        </w:rPr>
      </w:pPr>
      <w:r>
        <w:rPr>
          <w:rFonts w:hint="eastAsia"/>
          <w:color w:val="000000"/>
          <w:sz w:val="24"/>
        </w:rPr>
        <w:t>思想品德优秀，积极参加社会实践、公益活动等；</w:t>
      </w:r>
    </w:p>
    <w:p>
      <w:pPr>
        <w:numPr>
          <w:ilvl w:val="0"/>
          <w:numId w:val="9"/>
        </w:numPr>
        <w:spacing w:line="360" w:lineRule="auto"/>
        <w:rPr>
          <w:color w:val="000000"/>
          <w:sz w:val="24"/>
        </w:rPr>
      </w:pPr>
      <w:r>
        <w:rPr>
          <w:rFonts w:hint="eastAsia"/>
          <w:color w:val="000000"/>
          <w:sz w:val="24"/>
        </w:rPr>
        <w:t>学习成绩出色，参评当年获得研究生学业奖学金二等奖及以上；</w:t>
      </w:r>
    </w:p>
    <w:p>
      <w:pPr>
        <w:numPr>
          <w:ilvl w:val="0"/>
          <w:numId w:val="9"/>
        </w:numPr>
        <w:spacing w:line="360" w:lineRule="auto"/>
        <w:rPr>
          <w:color w:val="000000"/>
          <w:sz w:val="24"/>
        </w:rPr>
      </w:pPr>
      <w:r>
        <w:rPr>
          <w:rFonts w:hint="eastAsia"/>
          <w:color w:val="000000"/>
          <w:sz w:val="24"/>
        </w:rPr>
        <w:t>科研能力较强，发表一定的科研成果，或参加省级以上学科竞赛获奖；</w:t>
      </w:r>
    </w:p>
    <w:p>
      <w:pPr>
        <w:numPr>
          <w:ilvl w:val="0"/>
          <w:numId w:val="9"/>
        </w:numPr>
        <w:spacing w:line="360" w:lineRule="auto"/>
        <w:rPr>
          <w:color w:val="000000"/>
          <w:sz w:val="24"/>
        </w:rPr>
      </w:pPr>
      <w:r>
        <w:rPr>
          <w:rFonts w:hint="eastAsia"/>
          <w:color w:val="000000"/>
          <w:sz w:val="24"/>
        </w:rPr>
        <w:t>积极参加体育锻炼、文体活动及其他有益的社会活动，乐于承担社会工作且有突出表现。</w:t>
      </w:r>
    </w:p>
    <w:p>
      <w:pPr>
        <w:numPr>
          <w:ilvl w:val="0"/>
          <w:numId w:val="3"/>
        </w:numPr>
        <w:spacing w:line="360" w:lineRule="auto"/>
        <w:rPr>
          <w:b/>
          <w:bCs/>
          <w:color w:val="000000"/>
          <w:sz w:val="24"/>
        </w:rPr>
      </w:pPr>
      <w:r>
        <w:rPr>
          <w:rFonts w:hint="eastAsia"/>
          <w:b/>
          <w:bCs/>
          <w:color w:val="000000"/>
          <w:sz w:val="24"/>
        </w:rPr>
        <w:t>优秀研究生干部</w:t>
      </w:r>
    </w:p>
    <w:p>
      <w:pPr>
        <w:numPr>
          <w:ilvl w:val="0"/>
          <w:numId w:val="10"/>
        </w:numPr>
        <w:spacing w:line="360" w:lineRule="auto"/>
        <w:rPr>
          <w:color w:val="000000"/>
          <w:sz w:val="24"/>
        </w:rPr>
      </w:pPr>
      <w:r>
        <w:rPr>
          <w:rFonts w:hint="eastAsia"/>
          <w:color w:val="000000"/>
          <w:sz w:val="24"/>
        </w:rPr>
        <w:t>担任研究生干部一届以上（含一届），有较高的思政政治素质，学习刻苦努力，成绩优秀，热心社会工作；</w:t>
      </w:r>
    </w:p>
    <w:p>
      <w:pPr>
        <w:numPr>
          <w:ilvl w:val="0"/>
          <w:numId w:val="10"/>
        </w:numPr>
        <w:spacing w:line="360" w:lineRule="auto"/>
        <w:rPr>
          <w:color w:val="000000"/>
          <w:sz w:val="24"/>
        </w:rPr>
      </w:pPr>
      <w:r>
        <w:rPr>
          <w:rFonts w:hint="eastAsia"/>
          <w:color w:val="000000"/>
          <w:sz w:val="24"/>
        </w:rPr>
        <w:t>有较强的的工作能力，积极主动为同学服务，在同学中有较高威信，工作任劳任怨，切实起到骨干带头作用，并在社会工作中取得一定成绩。</w:t>
      </w:r>
    </w:p>
    <w:p>
      <w:pPr>
        <w:numPr>
          <w:ilvl w:val="0"/>
          <w:numId w:val="3"/>
        </w:numPr>
        <w:spacing w:line="360" w:lineRule="auto"/>
        <w:rPr>
          <w:b/>
          <w:bCs/>
          <w:color w:val="000000"/>
          <w:sz w:val="24"/>
        </w:rPr>
      </w:pPr>
      <w:r>
        <w:rPr>
          <w:rFonts w:hint="eastAsia"/>
          <w:b/>
          <w:bCs/>
          <w:color w:val="000000"/>
          <w:sz w:val="24"/>
        </w:rPr>
        <w:t>优秀毕业研究生</w:t>
      </w:r>
    </w:p>
    <w:p>
      <w:pPr>
        <w:numPr>
          <w:ilvl w:val="0"/>
          <w:numId w:val="11"/>
        </w:numPr>
        <w:spacing w:line="360" w:lineRule="auto"/>
        <w:ind w:left="840"/>
        <w:rPr>
          <w:color w:val="000000"/>
          <w:sz w:val="24"/>
        </w:rPr>
      </w:pPr>
      <w:r>
        <w:rPr>
          <w:rFonts w:hint="eastAsia"/>
          <w:color w:val="000000"/>
          <w:sz w:val="24"/>
        </w:rPr>
        <w:t>学习努力，成绩优秀，有优秀学术论文发表或取得科研成果；</w:t>
      </w:r>
    </w:p>
    <w:p>
      <w:pPr>
        <w:numPr>
          <w:ilvl w:val="0"/>
          <w:numId w:val="11"/>
        </w:numPr>
        <w:spacing w:line="360" w:lineRule="auto"/>
        <w:ind w:left="840"/>
        <w:rPr>
          <w:color w:val="000000"/>
          <w:sz w:val="24"/>
        </w:rPr>
      </w:pPr>
      <w:r>
        <w:rPr>
          <w:rFonts w:hint="eastAsia"/>
          <w:color w:val="000000"/>
          <w:sz w:val="24"/>
        </w:rPr>
        <w:t>校级优秀毕业研究生须获得优秀研究生、优秀研究生干部称号或学业奖学金一等奖一项及以上，省级优秀毕业研究生须获得优秀研究生、优秀研究生干部称号或学业奖学金一等奖两项（次）及以上；</w:t>
      </w:r>
    </w:p>
    <w:p>
      <w:pPr>
        <w:numPr>
          <w:ilvl w:val="0"/>
          <w:numId w:val="11"/>
        </w:numPr>
        <w:spacing w:line="360" w:lineRule="auto"/>
        <w:ind w:left="840"/>
        <w:rPr>
          <w:color w:val="000000"/>
          <w:sz w:val="24"/>
        </w:rPr>
      </w:pPr>
      <w:r>
        <w:rPr>
          <w:rFonts w:hint="eastAsia"/>
          <w:color w:val="000000"/>
          <w:sz w:val="24"/>
        </w:rPr>
        <w:t>毕业论文成绩优良</w:t>
      </w:r>
    </w:p>
    <w:p>
      <w:pPr>
        <w:numPr>
          <w:ilvl w:val="0"/>
          <w:numId w:val="11"/>
        </w:numPr>
        <w:spacing w:line="360" w:lineRule="auto"/>
        <w:ind w:left="840"/>
        <w:rPr>
          <w:color w:val="000000"/>
          <w:sz w:val="24"/>
        </w:rPr>
      </w:pPr>
      <w:r>
        <w:rPr>
          <w:rFonts w:hint="eastAsia"/>
          <w:color w:val="000000"/>
          <w:sz w:val="24"/>
        </w:rPr>
        <w:t>在规定学制内通过毕业论文答辩并获得学位；</w:t>
      </w:r>
    </w:p>
    <w:p>
      <w:pPr>
        <w:numPr>
          <w:ilvl w:val="0"/>
          <w:numId w:val="11"/>
        </w:numPr>
        <w:spacing w:line="360" w:lineRule="auto"/>
        <w:ind w:left="840"/>
        <w:rPr>
          <w:color w:val="000000"/>
          <w:sz w:val="24"/>
        </w:rPr>
      </w:pPr>
      <w:r>
        <w:rPr>
          <w:rFonts w:hint="eastAsia"/>
          <w:color w:val="000000"/>
          <w:sz w:val="24"/>
        </w:rPr>
        <w:t>树立正确的就业观，对响应国家号召献身国防事业，自愿到西部、到艰苦边远地区和基层就业、创业的毕业生，可优先推荐评选；</w:t>
      </w:r>
    </w:p>
    <w:p>
      <w:pPr>
        <w:numPr>
          <w:ilvl w:val="0"/>
          <w:numId w:val="11"/>
        </w:numPr>
        <w:spacing w:line="360" w:lineRule="auto"/>
        <w:ind w:left="840"/>
        <w:rPr>
          <w:color w:val="000000"/>
          <w:sz w:val="24"/>
        </w:rPr>
      </w:pPr>
      <w:r>
        <w:rPr>
          <w:rFonts w:hint="eastAsia"/>
          <w:color w:val="000000"/>
          <w:sz w:val="24"/>
        </w:rPr>
        <w:t>某方面表现特别突出的，校级优秀毕业研究生评选条件可适当放宽。</w:t>
      </w:r>
    </w:p>
    <w:p>
      <w:pPr>
        <w:tabs>
          <w:tab w:val="left" w:pos="1305"/>
        </w:tabs>
        <w:spacing w:line="360" w:lineRule="auto"/>
        <w:rPr>
          <w:bCs/>
          <w:sz w:val="24"/>
          <w:szCs w:val="24"/>
        </w:rPr>
      </w:pPr>
      <w:r>
        <w:rPr>
          <w:bCs/>
          <w:sz w:val="24"/>
          <w:szCs w:val="24"/>
        </w:rPr>
        <w:tab/>
      </w:r>
    </w:p>
    <w:p>
      <w:pPr>
        <w:numPr>
          <w:ilvl w:val="0"/>
          <w:numId w:val="12"/>
        </w:numPr>
        <w:rPr>
          <w:b/>
          <w:sz w:val="24"/>
          <w:szCs w:val="24"/>
        </w:rPr>
      </w:pPr>
      <w:r>
        <w:rPr>
          <w:b/>
          <w:color w:val="000000"/>
          <w:kern w:val="0"/>
          <w:sz w:val="24"/>
        </w:rPr>
        <w:t>本细则制订后，将在201</w:t>
      </w:r>
      <w:r>
        <w:rPr>
          <w:rFonts w:hint="eastAsia"/>
          <w:b/>
          <w:color w:val="000000"/>
          <w:kern w:val="0"/>
          <w:sz w:val="24"/>
        </w:rPr>
        <w:t>9</w:t>
      </w:r>
      <w:r>
        <w:rPr>
          <w:b/>
          <w:color w:val="000000"/>
          <w:kern w:val="0"/>
          <w:sz w:val="24"/>
        </w:rPr>
        <w:t>年开始实行。</w:t>
      </w:r>
      <w:r>
        <w:rPr>
          <w:b/>
          <w:sz w:val="24"/>
          <w:szCs w:val="24"/>
        </w:rPr>
        <w:t>本细则最终解释权归杭师大文化创意学院研究生奖学金评定领导小组所有。</w:t>
      </w:r>
    </w:p>
    <w:p>
      <w:pPr>
        <w:rPr>
          <w:b/>
          <w:sz w:val="24"/>
          <w:szCs w:val="24"/>
        </w:rPr>
      </w:pPr>
    </w:p>
    <w:p>
      <w:pPr>
        <w:rPr>
          <w:b/>
          <w:sz w:val="24"/>
          <w:szCs w:val="24"/>
        </w:rPr>
      </w:pPr>
    </w:p>
    <w:p>
      <w:pPr>
        <w:rPr>
          <w:bCs/>
          <w:sz w:val="24"/>
          <w:szCs w:val="24"/>
        </w:rPr>
      </w:pPr>
    </w:p>
    <w:p>
      <w:pPr>
        <w:rPr>
          <w:b/>
          <w:sz w:val="24"/>
          <w:szCs w:val="24"/>
        </w:rPr>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5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A695C2"/>
    <w:multiLevelType w:val="singleLevel"/>
    <w:tmpl w:val="96A695C2"/>
    <w:lvl w:ilvl="0" w:tentative="0">
      <w:start w:val="5"/>
      <w:numFmt w:val="chineseCounting"/>
      <w:suff w:val="nothing"/>
      <w:lvlText w:val="%1、"/>
      <w:lvlJc w:val="left"/>
      <w:rPr>
        <w:rFonts w:hint="eastAsia"/>
      </w:rPr>
    </w:lvl>
  </w:abstractNum>
  <w:abstractNum w:abstractNumId="1">
    <w:nsid w:val="A0609EC0"/>
    <w:multiLevelType w:val="singleLevel"/>
    <w:tmpl w:val="A0609EC0"/>
    <w:lvl w:ilvl="0" w:tentative="0">
      <w:start w:val="1"/>
      <w:numFmt w:val="decimal"/>
      <w:suff w:val="nothing"/>
      <w:lvlText w:val="（%1）"/>
      <w:lvlJc w:val="left"/>
    </w:lvl>
  </w:abstractNum>
  <w:abstractNum w:abstractNumId="2">
    <w:nsid w:val="C3DB3A58"/>
    <w:multiLevelType w:val="singleLevel"/>
    <w:tmpl w:val="C3DB3A58"/>
    <w:lvl w:ilvl="0" w:tentative="0">
      <w:start w:val="1"/>
      <w:numFmt w:val="decimal"/>
      <w:suff w:val="nothing"/>
      <w:lvlText w:val="（%1）"/>
      <w:lvlJc w:val="left"/>
    </w:lvl>
  </w:abstractNum>
  <w:abstractNum w:abstractNumId="3">
    <w:nsid w:val="C48A2D6F"/>
    <w:multiLevelType w:val="singleLevel"/>
    <w:tmpl w:val="C48A2D6F"/>
    <w:lvl w:ilvl="0" w:tentative="0">
      <w:start w:val="1"/>
      <w:numFmt w:val="decimal"/>
      <w:suff w:val="nothing"/>
      <w:lvlText w:val="（%1）"/>
      <w:lvlJc w:val="left"/>
    </w:lvl>
  </w:abstractNum>
  <w:abstractNum w:abstractNumId="4">
    <w:nsid w:val="EDA238EB"/>
    <w:multiLevelType w:val="singleLevel"/>
    <w:tmpl w:val="EDA238EB"/>
    <w:lvl w:ilvl="0" w:tentative="0">
      <w:start w:val="1"/>
      <w:numFmt w:val="decimal"/>
      <w:suff w:val="nothing"/>
      <w:lvlText w:val="（%1）"/>
      <w:lvlJc w:val="left"/>
      <w:pPr>
        <w:ind w:left="720" w:firstLine="0"/>
      </w:pPr>
    </w:lvl>
  </w:abstractNum>
  <w:abstractNum w:abstractNumId="5">
    <w:nsid w:val="0E4350C4"/>
    <w:multiLevelType w:val="singleLevel"/>
    <w:tmpl w:val="0E4350C4"/>
    <w:lvl w:ilvl="0" w:tentative="0">
      <w:start w:val="1"/>
      <w:numFmt w:val="decimal"/>
      <w:suff w:val="nothing"/>
      <w:lvlText w:val="（%1）"/>
      <w:lvlJc w:val="left"/>
      <w:pPr>
        <w:ind w:left="600" w:firstLine="0"/>
      </w:pPr>
    </w:lvl>
  </w:abstractNum>
  <w:abstractNum w:abstractNumId="6">
    <w:nsid w:val="1EF2D703"/>
    <w:multiLevelType w:val="singleLevel"/>
    <w:tmpl w:val="1EF2D703"/>
    <w:lvl w:ilvl="0" w:tentative="0">
      <w:start w:val="1"/>
      <w:numFmt w:val="decimal"/>
      <w:suff w:val="nothing"/>
      <w:lvlText w:val="%1、"/>
      <w:lvlJc w:val="left"/>
      <w:pPr>
        <w:ind w:left="480" w:firstLine="0"/>
      </w:pPr>
    </w:lvl>
  </w:abstractNum>
  <w:abstractNum w:abstractNumId="7">
    <w:nsid w:val="2BA5BF00"/>
    <w:multiLevelType w:val="singleLevel"/>
    <w:tmpl w:val="2BA5BF00"/>
    <w:lvl w:ilvl="0" w:tentative="0">
      <w:start w:val="4"/>
      <w:numFmt w:val="chineseCounting"/>
      <w:suff w:val="nothing"/>
      <w:lvlText w:val="%1、"/>
      <w:lvlJc w:val="left"/>
      <w:rPr>
        <w:rFonts w:hint="eastAsia"/>
      </w:rPr>
    </w:lvl>
  </w:abstractNum>
  <w:abstractNum w:abstractNumId="8">
    <w:nsid w:val="4270CDA8"/>
    <w:multiLevelType w:val="singleLevel"/>
    <w:tmpl w:val="4270CDA8"/>
    <w:lvl w:ilvl="0" w:tentative="0">
      <w:start w:val="1"/>
      <w:numFmt w:val="decimal"/>
      <w:suff w:val="nothing"/>
      <w:lvlText w:val="（%1）"/>
      <w:lvlJc w:val="left"/>
    </w:lvl>
  </w:abstractNum>
  <w:abstractNum w:abstractNumId="9">
    <w:nsid w:val="51B6593F"/>
    <w:multiLevelType w:val="singleLevel"/>
    <w:tmpl w:val="51B6593F"/>
    <w:lvl w:ilvl="0" w:tentative="0">
      <w:start w:val="2"/>
      <w:numFmt w:val="decimal"/>
      <w:suff w:val="nothing"/>
      <w:lvlText w:val="（%1）"/>
      <w:lvlJc w:val="left"/>
      <w:pPr>
        <w:ind w:left="840" w:firstLine="0"/>
      </w:pPr>
    </w:lvl>
  </w:abstractNum>
  <w:abstractNum w:abstractNumId="10">
    <w:nsid w:val="6FCE78F6"/>
    <w:multiLevelType w:val="multilevel"/>
    <w:tmpl w:val="6FCE78F6"/>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1">
    <w:nsid w:val="78030715"/>
    <w:multiLevelType w:val="singleLevel"/>
    <w:tmpl w:val="78030715"/>
    <w:lvl w:ilvl="0" w:tentative="0">
      <w:start w:val="1"/>
      <w:numFmt w:val="decimal"/>
      <w:suff w:val="nothing"/>
      <w:lvlText w:val="（%1）"/>
      <w:lvlJc w:val="left"/>
      <w:pPr>
        <w:ind w:left="720" w:firstLine="0"/>
      </w:pPr>
    </w:lvl>
  </w:abstractNum>
  <w:num w:numId="1">
    <w:abstractNumId w:val="10"/>
  </w:num>
  <w:num w:numId="2">
    <w:abstractNumId w:val="7"/>
  </w:num>
  <w:num w:numId="3">
    <w:abstractNumId w:val="6"/>
  </w:num>
  <w:num w:numId="4">
    <w:abstractNumId w:val="1"/>
  </w:num>
  <w:num w:numId="5">
    <w:abstractNumId w:val="5"/>
  </w:num>
  <w:num w:numId="6">
    <w:abstractNumId w:val="8"/>
  </w:num>
  <w:num w:numId="7">
    <w:abstractNumId w:val="2"/>
  </w:num>
  <w:num w:numId="8">
    <w:abstractNumId w:val="9"/>
  </w:num>
  <w:num w:numId="9">
    <w:abstractNumId w:val="11"/>
  </w:num>
  <w:num w:numId="10">
    <w:abstractNumId w:val="4"/>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3D5ED9"/>
    <w:rsid w:val="003D5ED9"/>
    <w:rsid w:val="007A5D06"/>
    <w:rsid w:val="03F0167A"/>
    <w:rsid w:val="0B3E7BCD"/>
    <w:rsid w:val="0B562C76"/>
    <w:rsid w:val="24117B87"/>
    <w:rsid w:val="3C570957"/>
    <w:rsid w:val="402E6C6B"/>
    <w:rsid w:val="4F8C2283"/>
    <w:rsid w:val="577511CC"/>
    <w:rsid w:val="58462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 w:type="character" w:customStyle="1" w:styleId="12">
    <w:name w:val="s1"/>
    <w:basedOn w:val="7"/>
    <w:qFormat/>
    <w:uiPriority w:val="0"/>
    <w:rPr>
      <w:rFonts w:ascii="Helvetica" w:hAnsi="Helvetica" w:eastAsia="Helvetica" w:cs="Helvetica"/>
      <w:sz w:val="24"/>
      <w:szCs w:val="24"/>
    </w:rPr>
  </w:style>
  <w:style w:type="paragraph" w:customStyle="1" w:styleId="13">
    <w:name w:val="p1"/>
    <w:basedOn w:val="1"/>
    <w:uiPriority w:val="0"/>
    <w:pPr>
      <w:jc w:val="left"/>
    </w:pPr>
    <w:rPr>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7</Pages>
  <Words>667</Words>
  <Characters>3808</Characters>
  <Lines>31</Lines>
  <Paragraphs>8</Paragraphs>
  <TotalTime>8</TotalTime>
  <ScaleCrop>false</ScaleCrop>
  <LinksUpToDate>false</LinksUpToDate>
  <CharactersWithSpaces>4467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2013-12-17T16:07:00Z</dcterms:created>
  <dc:creator>Lenovo User</dc:creator>
  <cp:lastModifiedBy>Administrator</cp:lastModifiedBy>
  <cp:lastPrinted>2016-04-06T12:47:00Z</cp:lastPrinted>
  <dcterms:modified xsi:type="dcterms:W3CDTF">2020-09-18T02:59:07Z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