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C5" w:rsidRDefault="00777A19">
      <w:pPr>
        <w:pStyle w:val="a7"/>
        <w:shd w:val="clear" w:color="auto" w:fill="FFFFFF"/>
        <w:adjustRightInd w:val="0"/>
        <w:snapToGrid w:val="0"/>
        <w:spacing w:before="0" w:beforeAutospacing="0" w:after="0" w:afterAutospacing="0" w:line="580" w:lineRule="exact"/>
        <w:jc w:val="both"/>
        <w:rPr>
          <w:rFonts w:ascii="Times New Roman" w:eastAsia="黑体" w:hAnsi="Times New Roman" w:cs="黑体"/>
          <w:color w:val="000000"/>
          <w:spacing w:val="15"/>
          <w:sz w:val="32"/>
          <w:szCs w:val="32"/>
        </w:rPr>
      </w:pPr>
      <w:bookmarkStart w:id="0" w:name="_GoBack"/>
      <w:r>
        <w:rPr>
          <w:rFonts w:ascii="Times New Roman" w:eastAsia="黑体" w:hAnsi="Times New Roman" w:cs="黑体" w:hint="eastAsia"/>
          <w:color w:val="000000"/>
          <w:spacing w:val="15"/>
          <w:sz w:val="32"/>
          <w:szCs w:val="32"/>
        </w:rPr>
        <w:t>附件</w:t>
      </w:r>
      <w:r>
        <w:rPr>
          <w:rFonts w:ascii="Times New Roman" w:eastAsia="黑体" w:hAnsi="Times New Roman" w:cs="黑体" w:hint="eastAsia"/>
          <w:color w:val="000000"/>
          <w:spacing w:val="15"/>
          <w:sz w:val="32"/>
          <w:szCs w:val="32"/>
        </w:rPr>
        <w:t>1</w:t>
      </w:r>
      <w:r>
        <w:rPr>
          <w:rFonts w:ascii="Times New Roman" w:eastAsia="黑体" w:hAnsi="Times New Roman" w:cs="黑体" w:hint="eastAsia"/>
          <w:color w:val="000000"/>
          <w:spacing w:val="15"/>
          <w:sz w:val="32"/>
          <w:szCs w:val="32"/>
        </w:rPr>
        <w:t>：</w:t>
      </w:r>
    </w:p>
    <w:p w:rsidR="00802AC5" w:rsidRDefault="00777A19">
      <w:pPr>
        <w:pStyle w:val="a7"/>
        <w:adjustRightInd w:val="0"/>
        <w:snapToGrid w:val="0"/>
        <w:spacing w:before="0" w:beforeAutospacing="0" w:after="0" w:afterAutospacing="0"/>
        <w:jc w:val="center"/>
        <w:rPr>
          <w:rFonts w:ascii="黑体" w:eastAsia="黑体" w:hAnsi="黑体"/>
          <w:b/>
          <w:color w:val="000000"/>
          <w:sz w:val="36"/>
        </w:rPr>
      </w:pPr>
      <w:r>
        <w:rPr>
          <w:rFonts w:ascii="黑体" w:eastAsia="黑体" w:hAnsi="黑体" w:hint="eastAsia"/>
          <w:b/>
          <w:color w:val="000000"/>
          <w:sz w:val="36"/>
        </w:rPr>
        <w:t>文化创意与传媒学院“每日一讲”参考学习内容</w:t>
      </w:r>
      <w:bookmarkEnd w:id="0"/>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009"/>
      </w:tblGrid>
      <w:tr w:rsidR="00802AC5">
        <w:trPr>
          <w:trHeight w:val="360"/>
          <w:jc w:val="center"/>
        </w:trPr>
        <w:tc>
          <w:tcPr>
            <w:tcW w:w="2548" w:type="dxa"/>
            <w:shd w:val="clear" w:color="auto" w:fill="auto"/>
            <w:vAlign w:val="center"/>
          </w:tcPr>
          <w:p w:rsidR="00802AC5" w:rsidRDefault="00777A19">
            <w:pPr>
              <w:pStyle w:val="a7"/>
              <w:adjustRightInd w:val="0"/>
              <w:snapToGrid w:val="0"/>
              <w:spacing w:before="0" w:beforeAutospacing="0" w:after="0" w:afterAutospacing="0" w:line="580" w:lineRule="exact"/>
              <w:jc w:val="center"/>
              <w:rPr>
                <w:rFonts w:ascii="黑体" w:eastAsia="黑体" w:hAnsi="黑体" w:cs="黑体"/>
                <w:color w:val="000000"/>
                <w:spacing w:val="15"/>
              </w:rPr>
            </w:pPr>
            <w:r>
              <w:rPr>
                <w:rFonts w:ascii="黑体" w:eastAsia="黑体" w:hAnsi="黑体" w:cs="黑体" w:hint="eastAsia"/>
                <w:color w:val="000000"/>
                <w:spacing w:val="15"/>
              </w:rPr>
              <w:t>主题</w:t>
            </w:r>
          </w:p>
        </w:tc>
        <w:tc>
          <w:tcPr>
            <w:tcW w:w="6009" w:type="dxa"/>
            <w:shd w:val="clear" w:color="auto" w:fill="auto"/>
            <w:vAlign w:val="center"/>
          </w:tcPr>
          <w:p w:rsidR="00802AC5" w:rsidRDefault="00777A19">
            <w:pPr>
              <w:pStyle w:val="a7"/>
              <w:adjustRightInd w:val="0"/>
              <w:snapToGrid w:val="0"/>
              <w:spacing w:before="0" w:beforeAutospacing="0" w:after="0" w:afterAutospacing="0" w:line="580" w:lineRule="exact"/>
              <w:jc w:val="center"/>
              <w:rPr>
                <w:rFonts w:ascii="Times New Roman" w:eastAsia="黑体" w:hAnsi="Times New Roman" w:cs="黑体"/>
                <w:color w:val="000000"/>
                <w:spacing w:val="15"/>
              </w:rPr>
            </w:pPr>
            <w:r>
              <w:rPr>
                <w:rFonts w:ascii="Times New Roman" w:eastAsia="黑体" w:hAnsi="Times New Roman" w:cs="黑体" w:hint="eastAsia"/>
                <w:color w:val="000000"/>
                <w:spacing w:val="15"/>
              </w:rPr>
              <w:t>内容</w:t>
            </w:r>
          </w:p>
        </w:tc>
      </w:tr>
      <w:tr w:rsidR="00802AC5">
        <w:trPr>
          <w:trHeight w:val="1615"/>
          <w:jc w:val="center"/>
        </w:trPr>
        <w:tc>
          <w:tcPr>
            <w:tcW w:w="2548" w:type="dxa"/>
            <w:shd w:val="clear" w:color="auto" w:fill="auto"/>
            <w:vAlign w:val="center"/>
          </w:tcPr>
          <w:p w:rsidR="00802AC5" w:rsidRDefault="00777A19">
            <w:pPr>
              <w:pStyle w:val="a7"/>
              <w:adjustRightInd w:val="0"/>
              <w:snapToGrid w:val="0"/>
              <w:spacing w:before="0" w:beforeAutospacing="0" w:after="0" w:afterAutospacing="0"/>
              <w:jc w:val="center"/>
              <w:rPr>
                <w:rFonts w:ascii="黑体" w:eastAsia="黑体" w:hAnsi="黑体" w:cs="黑体"/>
                <w:color w:val="000000"/>
                <w:spacing w:val="15"/>
              </w:rPr>
            </w:pPr>
            <w:r>
              <w:rPr>
                <w:rFonts w:ascii="黑体" w:eastAsia="黑体" w:hAnsi="黑体" w:cs="黑体" w:hint="eastAsia"/>
                <w:color w:val="000000"/>
                <w:spacing w:val="15"/>
              </w:rPr>
              <w:t>感悟“八八战略”</w:t>
            </w:r>
          </w:p>
          <w:p w:rsidR="00802AC5" w:rsidRDefault="00777A19">
            <w:pPr>
              <w:pStyle w:val="a7"/>
              <w:adjustRightInd w:val="0"/>
              <w:snapToGrid w:val="0"/>
              <w:spacing w:before="0" w:beforeAutospacing="0" w:after="0" w:afterAutospacing="0"/>
              <w:jc w:val="center"/>
              <w:rPr>
                <w:rFonts w:ascii="黑体" w:eastAsia="黑体" w:hAnsi="黑体" w:cs="黑体"/>
                <w:color w:val="000000"/>
                <w:spacing w:val="15"/>
              </w:rPr>
            </w:pPr>
            <w:r>
              <w:rPr>
                <w:rFonts w:ascii="黑体" w:eastAsia="黑体" w:hAnsi="黑体" w:cs="黑体" w:hint="eastAsia"/>
                <w:color w:val="000000"/>
                <w:spacing w:val="15"/>
              </w:rPr>
              <w:t>推进“两个先行”</w:t>
            </w:r>
          </w:p>
          <w:p w:rsidR="00802AC5" w:rsidRDefault="00802AC5">
            <w:pPr>
              <w:pStyle w:val="a7"/>
              <w:adjustRightInd w:val="0"/>
              <w:snapToGrid w:val="0"/>
              <w:spacing w:before="0" w:beforeAutospacing="0" w:after="0" w:afterAutospacing="0"/>
              <w:jc w:val="center"/>
              <w:rPr>
                <w:rFonts w:ascii="黑体" w:eastAsia="黑体" w:hAnsi="黑体" w:cs="黑体"/>
                <w:color w:val="000000"/>
                <w:spacing w:val="15"/>
              </w:rPr>
            </w:pPr>
          </w:p>
        </w:tc>
        <w:tc>
          <w:tcPr>
            <w:tcW w:w="6009" w:type="dxa"/>
            <w:shd w:val="clear" w:color="auto" w:fill="auto"/>
            <w:vAlign w:val="center"/>
          </w:tcPr>
          <w:p w:rsidR="00802AC5" w:rsidRDefault="00777A19">
            <w:pPr>
              <w:pStyle w:val="a7"/>
              <w:adjustRightInd w:val="0"/>
              <w:snapToGrid w:val="0"/>
              <w:spacing w:before="0" w:beforeAutospacing="0" w:after="0" w:afterAutospacing="0"/>
              <w:jc w:val="both"/>
              <w:rPr>
                <w:rFonts w:ascii="Times New Roman" w:eastAsia="仿宋_GB2312" w:hAnsi="Times New Roman"/>
                <w:color w:val="000000"/>
                <w:spacing w:val="15"/>
                <w:sz w:val="22"/>
                <w:szCs w:val="22"/>
              </w:rPr>
            </w:pPr>
            <w:r>
              <w:rPr>
                <w:rFonts w:ascii="Times New Roman" w:eastAsia="仿宋_GB2312" w:hAnsi="Times New Roman" w:hint="eastAsia"/>
                <w:color w:val="000000"/>
                <w:spacing w:val="15"/>
                <w:sz w:val="22"/>
                <w:szCs w:val="22"/>
              </w:rPr>
              <w:t>“八八战略”是习近平总书记在浙江工作时亲自擘画实施的引领浙江发展、推进浙江各项工作的总纲领。浙江脚踏实地干在实处、改革攻坚走在前列、创新突破勇立潮头，为新时代中国特色社会主义的开拓创新先行先试。</w:t>
            </w:r>
            <w:r>
              <w:rPr>
                <w:rFonts w:ascii="Times New Roman" w:eastAsia="仿宋_GB2312" w:hAnsi="Times New Roman" w:hint="eastAsia"/>
                <w:color w:val="000000"/>
                <w:spacing w:val="15"/>
                <w:sz w:val="22"/>
                <w:szCs w:val="22"/>
              </w:rPr>
              <w:t>围绕深度聚焦</w:t>
            </w:r>
            <w:r>
              <w:rPr>
                <w:rFonts w:ascii="Times New Roman" w:eastAsia="仿宋_GB2312" w:hAnsi="Times New Roman" w:hint="eastAsia"/>
                <w:color w:val="000000"/>
                <w:spacing w:val="15"/>
                <w:sz w:val="22"/>
                <w:szCs w:val="22"/>
              </w:rPr>
              <w:t>“八八战略”</w:t>
            </w:r>
            <w:r>
              <w:rPr>
                <w:rFonts w:ascii="Times New Roman" w:eastAsia="仿宋_GB2312" w:hAnsi="Times New Roman" w:hint="eastAsia"/>
                <w:color w:val="000000"/>
                <w:spacing w:val="15"/>
                <w:sz w:val="22"/>
                <w:szCs w:val="22"/>
              </w:rPr>
              <w:t>，</w:t>
            </w:r>
            <w:r>
              <w:rPr>
                <w:rFonts w:ascii="Times New Roman" w:eastAsia="仿宋_GB2312" w:hAnsi="Times New Roman" w:hint="eastAsia"/>
                <w:color w:val="000000"/>
                <w:spacing w:val="15"/>
                <w:sz w:val="22"/>
                <w:szCs w:val="22"/>
              </w:rPr>
              <w:t>奋力推进“两个先行”</w:t>
            </w:r>
            <w:r>
              <w:rPr>
                <w:rFonts w:ascii="Times New Roman" w:eastAsia="仿宋_GB2312" w:hAnsi="Times New Roman" w:hint="eastAsia"/>
                <w:color w:val="000000"/>
                <w:spacing w:val="15"/>
                <w:sz w:val="22"/>
                <w:szCs w:val="22"/>
              </w:rPr>
              <w:t>开展专题宣讲，坚持学深悟透、实干争先，推动“八八战略”走实走深，贡献自己的力量。</w:t>
            </w:r>
          </w:p>
        </w:tc>
      </w:tr>
      <w:tr w:rsidR="00802AC5">
        <w:trPr>
          <w:jc w:val="center"/>
        </w:trPr>
        <w:tc>
          <w:tcPr>
            <w:tcW w:w="2548" w:type="dxa"/>
            <w:shd w:val="clear" w:color="auto" w:fill="auto"/>
            <w:vAlign w:val="center"/>
          </w:tcPr>
          <w:p w:rsidR="00802AC5" w:rsidRDefault="00777A19">
            <w:pPr>
              <w:pStyle w:val="a7"/>
              <w:adjustRightInd w:val="0"/>
              <w:snapToGrid w:val="0"/>
              <w:spacing w:before="0" w:beforeAutospacing="0" w:after="0" w:afterAutospacing="0"/>
              <w:jc w:val="center"/>
              <w:rPr>
                <w:rFonts w:ascii="黑体" w:eastAsia="黑体" w:hAnsi="黑体" w:cs="黑体"/>
                <w:color w:val="000000"/>
                <w:spacing w:val="15"/>
              </w:rPr>
            </w:pPr>
            <w:r>
              <w:rPr>
                <w:rFonts w:ascii="黑体" w:eastAsia="黑体" w:hAnsi="黑体" w:cs="黑体"/>
                <w:color w:val="000000"/>
                <w:spacing w:val="15"/>
              </w:rPr>
              <w:t>青春践行二十大</w:t>
            </w:r>
            <w:r>
              <w:rPr>
                <w:rFonts w:ascii="黑体" w:eastAsia="黑体" w:hAnsi="黑体" w:cs="黑体"/>
                <w:color w:val="000000"/>
                <w:spacing w:val="15"/>
              </w:rPr>
              <w:t xml:space="preserve"> </w:t>
            </w:r>
          </w:p>
          <w:p w:rsidR="00802AC5" w:rsidRDefault="00777A19">
            <w:pPr>
              <w:pStyle w:val="a7"/>
              <w:adjustRightInd w:val="0"/>
              <w:snapToGrid w:val="0"/>
              <w:spacing w:before="0" w:beforeAutospacing="0" w:after="0" w:afterAutospacing="0"/>
              <w:jc w:val="center"/>
              <w:rPr>
                <w:rFonts w:ascii="黑体" w:eastAsia="黑体" w:hAnsi="黑体" w:cs="黑体"/>
                <w:color w:val="000000"/>
                <w:spacing w:val="15"/>
              </w:rPr>
            </w:pPr>
            <w:r>
              <w:rPr>
                <w:rFonts w:ascii="黑体" w:eastAsia="黑体" w:hAnsi="黑体" w:cs="黑体"/>
                <w:color w:val="000000"/>
                <w:spacing w:val="15"/>
              </w:rPr>
              <w:t>砥砺奋进新征程</w:t>
            </w:r>
          </w:p>
        </w:tc>
        <w:tc>
          <w:tcPr>
            <w:tcW w:w="6009" w:type="dxa"/>
            <w:shd w:val="clear" w:color="auto" w:fill="auto"/>
            <w:vAlign w:val="center"/>
          </w:tcPr>
          <w:p w:rsidR="00802AC5" w:rsidRDefault="00777A19">
            <w:pPr>
              <w:widowControl/>
              <w:rPr>
                <w:rFonts w:ascii="Times New Roman" w:eastAsia="Times New Roman" w:hAnsi="Times New Roman"/>
                <w:kern w:val="0"/>
                <w:sz w:val="24"/>
                <w:szCs w:val="24"/>
              </w:rPr>
            </w:pPr>
            <w:r>
              <w:rPr>
                <w:rFonts w:ascii="Times New Roman" w:eastAsia="仿宋_GB2312" w:hAnsi="Times New Roman" w:cs="Times New Roman" w:hint="eastAsia"/>
                <w:color w:val="000000"/>
                <w:spacing w:val="15"/>
                <w:sz w:val="22"/>
              </w:rPr>
              <w:t>党的二十大是一次高举旗帜、凝聚力量、团结奋进的大会，在党和国家发展进程中具有极其重大的历史意义。</w:t>
            </w:r>
            <w:r>
              <w:rPr>
                <w:rFonts w:ascii="Times New Roman" w:eastAsia="仿宋_GB2312" w:hAnsi="Times New Roman" w:cs="Times New Roman" w:hint="eastAsia"/>
                <w:color w:val="000000"/>
                <w:spacing w:val="15"/>
                <w:sz w:val="22"/>
              </w:rPr>
              <w:t>为</w:t>
            </w:r>
            <w:r>
              <w:rPr>
                <w:rFonts w:ascii="Times New Roman" w:eastAsia="仿宋_GB2312" w:hAnsi="Times New Roman" w:cs="Times New Roman" w:hint="eastAsia"/>
                <w:color w:val="000000"/>
                <w:spacing w:val="15"/>
                <w:sz w:val="22"/>
              </w:rPr>
              <w:t>深入学习贯彻党的二十大精神，深入开展学习贯彻习近平新时代中国特色社会主义思想主题教育，</w:t>
            </w:r>
            <w:r>
              <w:rPr>
                <w:rFonts w:ascii="Times New Roman" w:eastAsia="仿宋_GB2312" w:hAnsi="Times New Roman" w:hint="eastAsia"/>
                <w:color w:val="000000"/>
                <w:spacing w:val="15"/>
                <w:sz w:val="22"/>
              </w:rPr>
              <w:t>通过结合学习强国等</w:t>
            </w:r>
            <w:r>
              <w:rPr>
                <w:rFonts w:ascii="Times New Roman" w:eastAsia="仿宋_GB2312" w:hAnsi="Times New Roman" w:hint="eastAsia"/>
                <w:color w:val="000000"/>
                <w:spacing w:val="15"/>
                <w:sz w:val="22"/>
              </w:rPr>
              <w:t>app</w:t>
            </w:r>
            <w:r>
              <w:rPr>
                <w:rFonts w:ascii="Times New Roman" w:eastAsia="仿宋_GB2312" w:hAnsi="Times New Roman" w:hint="eastAsia"/>
                <w:color w:val="000000"/>
                <w:spacing w:val="15"/>
                <w:sz w:val="22"/>
              </w:rPr>
              <w:t>端内容</w:t>
            </w:r>
            <w:r>
              <w:rPr>
                <w:rFonts w:ascii="Times New Roman" w:eastAsia="仿宋_GB2312" w:hAnsi="Times New Roman" w:cs="Times New Roman" w:hint="eastAsia"/>
                <w:color w:val="000000"/>
                <w:spacing w:val="15"/>
                <w:sz w:val="22"/>
              </w:rPr>
              <w:t>，</w:t>
            </w:r>
            <w:r>
              <w:rPr>
                <w:rFonts w:ascii="Times New Roman" w:eastAsia="仿宋_GB2312" w:hAnsi="Times New Roman" w:hint="eastAsia"/>
                <w:color w:val="000000"/>
                <w:spacing w:val="15"/>
                <w:sz w:val="22"/>
              </w:rPr>
              <w:t>通过亲身讲述、分享交流、朋辈对话等形式生动展现</w:t>
            </w:r>
            <w:r>
              <w:rPr>
                <w:rFonts w:ascii="Times New Roman" w:eastAsia="仿宋_GB2312" w:hAnsi="Times New Roman" w:hint="eastAsia"/>
                <w:color w:val="000000"/>
                <w:spacing w:val="15"/>
                <w:sz w:val="22"/>
              </w:rPr>
              <w:t>文传</w:t>
            </w:r>
            <w:r>
              <w:rPr>
                <w:rFonts w:ascii="Times New Roman" w:eastAsia="仿宋_GB2312" w:hAnsi="Times New Roman" w:hint="eastAsia"/>
                <w:color w:val="000000"/>
                <w:spacing w:val="15"/>
                <w:sz w:val="22"/>
              </w:rPr>
              <w:t>学子将“小我”成长融入“大我”奋斗之中的青春风采。</w:t>
            </w:r>
          </w:p>
        </w:tc>
      </w:tr>
      <w:tr w:rsidR="00802AC5">
        <w:trPr>
          <w:jc w:val="center"/>
        </w:trPr>
        <w:tc>
          <w:tcPr>
            <w:tcW w:w="2548" w:type="dxa"/>
            <w:shd w:val="clear" w:color="auto" w:fill="auto"/>
            <w:vAlign w:val="center"/>
          </w:tcPr>
          <w:p w:rsidR="00802AC5" w:rsidRDefault="00777A19">
            <w:pPr>
              <w:pStyle w:val="a7"/>
              <w:spacing w:before="0" w:beforeAutospacing="0" w:after="0" w:afterAutospacing="0"/>
              <w:jc w:val="center"/>
            </w:pPr>
            <w:r>
              <w:rPr>
                <w:rFonts w:ascii="黑体" w:eastAsia="黑体" w:cs="黑体" w:hint="eastAsia"/>
                <w:color w:val="000000"/>
                <w:spacing w:val="15"/>
              </w:rPr>
              <w:t>新</w:t>
            </w:r>
            <w:r>
              <w:rPr>
                <w:rFonts w:ascii="黑体" w:eastAsia="黑体" w:cs="黑体"/>
                <w:color w:val="000000"/>
                <w:spacing w:val="15"/>
              </w:rPr>
              <w:t>时代好青年</w:t>
            </w:r>
          </w:p>
          <w:p w:rsidR="00802AC5" w:rsidRDefault="00777A19">
            <w:pPr>
              <w:pStyle w:val="a7"/>
              <w:spacing w:before="0" w:beforeAutospacing="0" w:after="0" w:afterAutospacing="0"/>
              <w:jc w:val="center"/>
              <w:rPr>
                <w:rFonts w:ascii="黑体" w:eastAsia="黑体" w:hAnsi="黑体"/>
                <w:color w:val="000000"/>
              </w:rPr>
            </w:pPr>
            <w:r>
              <w:rPr>
                <w:rFonts w:ascii="黑体" w:eastAsia="黑体" w:hAnsi="黑体" w:cs="黑体"/>
                <w:color w:val="000000"/>
                <w:spacing w:val="15"/>
              </w:rPr>
              <w:t>争创</w:t>
            </w:r>
            <w:r>
              <w:rPr>
                <w:rFonts w:ascii="黑体" w:eastAsia="黑体" w:hAnsi="黑体" w:cs="黑体" w:hint="eastAsia"/>
                <w:color w:val="000000"/>
                <w:spacing w:val="15"/>
              </w:rPr>
              <w:t>“双</w:t>
            </w:r>
            <w:r>
              <w:rPr>
                <w:rFonts w:ascii="黑体" w:eastAsia="黑体" w:hAnsi="黑体" w:cs="黑体"/>
                <w:color w:val="000000"/>
                <w:spacing w:val="15"/>
              </w:rPr>
              <w:t>一流</w:t>
            </w:r>
            <w:r>
              <w:rPr>
                <w:rFonts w:ascii="黑体" w:eastAsia="黑体" w:hAnsi="黑体" w:cs="黑体" w:hint="eastAsia"/>
                <w:color w:val="000000"/>
                <w:spacing w:val="15"/>
              </w:rPr>
              <w:t>”</w:t>
            </w:r>
          </w:p>
        </w:tc>
        <w:tc>
          <w:tcPr>
            <w:tcW w:w="6009" w:type="dxa"/>
            <w:shd w:val="clear" w:color="auto" w:fill="auto"/>
            <w:vAlign w:val="center"/>
          </w:tcPr>
          <w:p w:rsidR="00802AC5" w:rsidRDefault="00777A19">
            <w:pPr>
              <w:widowControl/>
              <w:rPr>
                <w:rFonts w:ascii="Times New Roman" w:eastAsia="仿宋_GB2312" w:hAnsi="Times New Roman"/>
                <w:color w:val="000000"/>
                <w:spacing w:val="15"/>
                <w:sz w:val="22"/>
              </w:rPr>
            </w:pPr>
            <w:r>
              <w:rPr>
                <w:rFonts w:ascii="Times New Roman" w:eastAsia="仿宋_GB2312" w:hAnsi="Times New Roman" w:hint="eastAsia"/>
                <w:color w:val="000000"/>
                <w:spacing w:val="15"/>
                <w:sz w:val="22"/>
              </w:rPr>
              <w:t>党的二十大报告中习近平总书记深切寄语青年“立志做有理想、敢担当、能吃苦、肯奋斗的新时代好青年”。争创“双一流”是学校深入学习贯彻党的二十大精神和践行习近平总书记关于高等教育系列重要论述的实际行动</w:t>
            </w:r>
            <w:r>
              <w:rPr>
                <w:rFonts w:ascii="Times New Roman" w:eastAsia="仿宋_GB2312" w:hAnsi="Times New Roman" w:hint="eastAsia"/>
                <w:color w:val="000000"/>
                <w:spacing w:val="15"/>
                <w:sz w:val="22"/>
              </w:rPr>
              <w:t>，</w:t>
            </w:r>
            <w:r>
              <w:rPr>
                <w:rFonts w:ascii="Times New Roman" w:eastAsia="仿宋_GB2312" w:hAnsi="Times New Roman" w:hint="eastAsia"/>
                <w:color w:val="000000"/>
                <w:spacing w:val="15"/>
                <w:sz w:val="22"/>
              </w:rPr>
              <w:t>全校师生</w:t>
            </w:r>
            <w:r>
              <w:rPr>
                <w:rFonts w:ascii="Times New Roman" w:eastAsia="仿宋_GB2312" w:hAnsi="Times New Roman" w:hint="eastAsia"/>
                <w:color w:val="000000"/>
                <w:spacing w:val="15"/>
                <w:sz w:val="22"/>
              </w:rPr>
              <w:t>只有参与者，没有旁观者。每一位</w:t>
            </w:r>
            <w:r>
              <w:rPr>
                <w:rFonts w:ascii="Times New Roman" w:eastAsia="仿宋_GB2312" w:hAnsi="Times New Roman" w:hint="eastAsia"/>
                <w:color w:val="000000"/>
                <w:spacing w:val="15"/>
                <w:sz w:val="22"/>
              </w:rPr>
              <w:t>同学</w:t>
            </w:r>
            <w:r>
              <w:rPr>
                <w:rFonts w:ascii="Times New Roman" w:eastAsia="仿宋_GB2312" w:hAnsi="Times New Roman" w:hint="eastAsia"/>
                <w:color w:val="000000"/>
                <w:spacing w:val="15"/>
                <w:sz w:val="22"/>
              </w:rPr>
              <w:t>都要以强烈的主人翁意识</w:t>
            </w:r>
            <w:r>
              <w:rPr>
                <w:rFonts w:ascii="Times New Roman" w:eastAsia="仿宋_GB2312" w:hAnsi="Times New Roman" w:hint="eastAsia"/>
                <w:color w:val="000000"/>
                <w:spacing w:val="15"/>
                <w:sz w:val="22"/>
              </w:rPr>
              <w:t>参与其中，</w:t>
            </w:r>
            <w:r>
              <w:rPr>
                <w:rFonts w:ascii="Times New Roman" w:eastAsia="仿宋_GB2312" w:hAnsi="Times New Roman" w:hint="eastAsia"/>
                <w:color w:val="000000"/>
                <w:spacing w:val="15"/>
                <w:sz w:val="22"/>
              </w:rPr>
              <w:t>凝聚智慧、共谋发展</w:t>
            </w:r>
            <w:r>
              <w:rPr>
                <w:rFonts w:ascii="Times New Roman" w:eastAsia="仿宋_GB2312" w:hAnsi="Times New Roman" w:hint="eastAsia"/>
                <w:color w:val="000000"/>
                <w:spacing w:val="15"/>
                <w:sz w:val="22"/>
              </w:rPr>
              <w:t>，</w:t>
            </w:r>
            <w:r>
              <w:rPr>
                <w:rFonts w:ascii="Times New Roman" w:eastAsia="仿宋_GB2312" w:hAnsi="Times New Roman" w:hint="eastAsia"/>
                <w:color w:val="000000"/>
                <w:spacing w:val="15"/>
                <w:sz w:val="22"/>
              </w:rPr>
              <w:t>以舍我其谁的担当，义无反顾投身</w:t>
            </w:r>
            <w:r>
              <w:rPr>
                <w:rFonts w:ascii="Times New Roman" w:eastAsia="仿宋_GB2312" w:hAnsi="Times New Roman" w:hint="eastAsia"/>
                <w:color w:val="000000"/>
                <w:spacing w:val="15"/>
                <w:sz w:val="22"/>
              </w:rPr>
              <w:t>学校全力争创国家“双一流”建设高校的光荣使命中。</w:t>
            </w:r>
          </w:p>
        </w:tc>
      </w:tr>
      <w:tr w:rsidR="00802AC5">
        <w:trPr>
          <w:jc w:val="center"/>
        </w:trPr>
        <w:tc>
          <w:tcPr>
            <w:tcW w:w="2548" w:type="dxa"/>
            <w:shd w:val="clear" w:color="auto" w:fill="auto"/>
            <w:vAlign w:val="center"/>
          </w:tcPr>
          <w:p w:rsidR="00802AC5" w:rsidRDefault="00777A19">
            <w:pPr>
              <w:pStyle w:val="a7"/>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弘扬</w:t>
            </w:r>
            <w:r>
              <w:rPr>
                <w:rFonts w:ascii="黑体" w:eastAsia="黑体" w:hAnsi="黑体" w:hint="eastAsia"/>
                <w:color w:val="000000"/>
              </w:rPr>
              <w:t>科学家精神</w:t>
            </w:r>
          </w:p>
          <w:p w:rsidR="00802AC5" w:rsidRDefault="00777A19">
            <w:pPr>
              <w:pStyle w:val="a7"/>
              <w:adjustRightInd w:val="0"/>
              <w:snapToGrid w:val="0"/>
              <w:spacing w:before="0" w:beforeAutospacing="0" w:after="0" w:afterAutospacing="0"/>
              <w:jc w:val="center"/>
              <w:rPr>
                <w:rFonts w:ascii="黑体" w:eastAsia="黑体" w:hAnsi="黑体" w:cs="黑体"/>
                <w:color w:val="000000"/>
                <w:spacing w:val="15"/>
              </w:rPr>
            </w:pPr>
            <w:r>
              <w:rPr>
                <w:rFonts w:ascii="黑体" w:eastAsia="黑体" w:hAnsi="黑体" w:hint="eastAsia"/>
                <w:color w:val="000000"/>
              </w:rPr>
              <w:t>宣传科普知识</w:t>
            </w:r>
          </w:p>
        </w:tc>
        <w:tc>
          <w:tcPr>
            <w:tcW w:w="6009" w:type="dxa"/>
            <w:shd w:val="clear" w:color="auto" w:fill="auto"/>
            <w:vAlign w:val="center"/>
          </w:tcPr>
          <w:p w:rsidR="00802AC5" w:rsidRDefault="00777A19">
            <w:pPr>
              <w:pStyle w:val="a7"/>
              <w:adjustRightInd w:val="0"/>
              <w:snapToGrid w:val="0"/>
              <w:spacing w:before="0" w:beforeAutospacing="0" w:after="0" w:afterAutospacing="0"/>
              <w:jc w:val="both"/>
              <w:rPr>
                <w:rFonts w:ascii="Times New Roman" w:eastAsia="仿宋_GB2312" w:hAnsi="Times New Roman"/>
                <w:color w:val="000000"/>
                <w:spacing w:val="15"/>
                <w:sz w:val="22"/>
              </w:rPr>
            </w:pPr>
            <w:r>
              <w:rPr>
                <w:rFonts w:ascii="Times New Roman" w:eastAsia="仿宋_GB2312" w:hAnsi="Times New Roman" w:hint="eastAsia"/>
                <w:color w:val="000000"/>
                <w:spacing w:val="15"/>
                <w:sz w:val="22"/>
                <w:szCs w:val="22"/>
              </w:rPr>
              <w:t>发掘身边的科学技术工作者，选取不同领域的“最美浙江人·最美科技人”代表，通过讲述他们取得的重大突破以及通过科学技术创新实现强国的故事，并结合科学精神宣传视频，大力弘扬科学家精神，持续营造尊重知识、热爱科学、积极向上的学习氛围。</w:t>
            </w:r>
            <w:r>
              <w:rPr>
                <w:rFonts w:ascii="Times New Roman" w:eastAsia="仿宋_GB2312" w:hAnsi="Times New Roman" w:hint="eastAsia"/>
                <w:color w:val="000000"/>
                <w:spacing w:val="15"/>
                <w:sz w:val="22"/>
                <w:szCs w:val="22"/>
              </w:rPr>
              <w:t>或用年轻人喜爱的方式为大众普及生活学习工作中的科学知识，进一步提升公民科学素养。</w:t>
            </w:r>
          </w:p>
        </w:tc>
      </w:tr>
      <w:tr w:rsidR="00802AC5">
        <w:trPr>
          <w:jc w:val="center"/>
        </w:trPr>
        <w:tc>
          <w:tcPr>
            <w:tcW w:w="2548" w:type="dxa"/>
            <w:shd w:val="clear" w:color="auto" w:fill="auto"/>
            <w:vAlign w:val="center"/>
          </w:tcPr>
          <w:p w:rsidR="00802AC5" w:rsidRDefault="00777A19">
            <w:pPr>
              <w:pStyle w:val="a7"/>
              <w:adjustRightInd w:val="0"/>
              <w:snapToGrid w:val="0"/>
              <w:spacing w:before="0" w:beforeAutospacing="0" w:after="0" w:afterAutospacing="0"/>
              <w:jc w:val="center"/>
              <w:rPr>
                <w:rFonts w:ascii="黑体" w:eastAsia="黑体" w:hAnsi="黑体" w:cs="黑体"/>
                <w:color w:val="000000"/>
                <w:spacing w:val="15"/>
              </w:rPr>
            </w:pPr>
            <w:r>
              <w:rPr>
                <w:rFonts w:ascii="黑体" w:eastAsia="黑体" w:hAnsi="黑体" w:cs="黑体" w:hint="eastAsia"/>
                <w:color w:val="000000"/>
                <w:spacing w:val="15"/>
              </w:rPr>
              <w:t>传颂五四故事</w:t>
            </w:r>
          </w:p>
          <w:p w:rsidR="00802AC5" w:rsidRDefault="00777A19">
            <w:pPr>
              <w:pStyle w:val="a7"/>
              <w:adjustRightInd w:val="0"/>
              <w:snapToGrid w:val="0"/>
              <w:spacing w:before="0" w:beforeAutospacing="0" w:after="0" w:afterAutospacing="0"/>
              <w:jc w:val="center"/>
              <w:rPr>
                <w:rFonts w:ascii="黑体" w:eastAsia="黑体" w:hAnsi="黑体" w:cs="黑体"/>
                <w:color w:val="000000"/>
                <w:spacing w:val="15"/>
              </w:rPr>
            </w:pPr>
            <w:r>
              <w:rPr>
                <w:rFonts w:ascii="黑体" w:eastAsia="黑体" w:hAnsi="黑体" w:cs="黑体" w:hint="eastAsia"/>
                <w:color w:val="000000"/>
                <w:spacing w:val="15"/>
              </w:rPr>
              <w:t>播种宪法精神</w:t>
            </w:r>
          </w:p>
        </w:tc>
        <w:tc>
          <w:tcPr>
            <w:tcW w:w="6009" w:type="dxa"/>
            <w:shd w:val="clear" w:color="auto" w:fill="auto"/>
            <w:vAlign w:val="center"/>
          </w:tcPr>
          <w:p w:rsidR="00802AC5" w:rsidRDefault="00777A19">
            <w:pPr>
              <w:widowControl/>
              <w:rPr>
                <w:rFonts w:ascii="Times New Roman" w:eastAsia="仿宋_GB2312" w:hAnsi="Times New Roman"/>
                <w:b/>
                <w:bCs/>
                <w:color w:val="000000"/>
                <w:spacing w:val="15"/>
                <w:sz w:val="22"/>
              </w:rPr>
            </w:pPr>
            <w:r>
              <w:rPr>
                <w:rFonts w:ascii="Times New Roman" w:eastAsia="仿宋_GB2312" w:hAnsi="Times New Roman" w:cs="Times New Roman" w:hint="eastAsia"/>
                <w:color w:val="000000"/>
                <w:spacing w:val="15"/>
                <w:sz w:val="22"/>
              </w:rPr>
              <w:t>用青年的磅礴之声奏响时代之音，道尽宪法的历史渊源，让青年在宪法宣讲中体会宪法精神，不断树立宪法权威，培养宪法意识，增强法治观念，更好地在新时代征程中贯彻宪法精神，建设法治中国</w:t>
            </w:r>
            <w:r>
              <w:rPr>
                <w:rFonts w:ascii="Times New Roman" w:eastAsia="仿宋_GB2312" w:hAnsi="Times New Roman" w:hint="eastAsia"/>
                <w:color w:val="000000"/>
                <w:spacing w:val="15"/>
                <w:sz w:val="22"/>
              </w:rPr>
              <w:t>。</w:t>
            </w:r>
          </w:p>
        </w:tc>
      </w:tr>
      <w:tr w:rsidR="00802AC5">
        <w:trPr>
          <w:trHeight w:val="396"/>
          <w:jc w:val="center"/>
        </w:trPr>
        <w:tc>
          <w:tcPr>
            <w:tcW w:w="2548" w:type="dxa"/>
            <w:shd w:val="clear" w:color="auto" w:fill="auto"/>
            <w:vAlign w:val="center"/>
          </w:tcPr>
          <w:p w:rsidR="00802AC5" w:rsidRDefault="00777A19">
            <w:pPr>
              <w:pStyle w:val="a7"/>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讲好亚运故事</w:t>
            </w:r>
          </w:p>
          <w:p w:rsidR="00802AC5" w:rsidRDefault="00777A19">
            <w:pPr>
              <w:pStyle w:val="a7"/>
              <w:adjustRightInd w:val="0"/>
              <w:snapToGrid w:val="0"/>
              <w:spacing w:before="0" w:beforeAutospacing="0" w:after="0" w:afterAutospacing="0"/>
              <w:jc w:val="center"/>
              <w:rPr>
                <w:rFonts w:ascii="黑体" w:eastAsia="黑体" w:hAnsi="黑体"/>
                <w:color w:val="000000"/>
              </w:rPr>
            </w:pPr>
            <w:r>
              <w:rPr>
                <w:rFonts w:ascii="黑体" w:eastAsia="黑体" w:hAnsi="黑体" w:hint="eastAsia"/>
                <w:color w:val="000000"/>
              </w:rPr>
              <w:t>传播中国声音</w:t>
            </w:r>
          </w:p>
        </w:tc>
        <w:tc>
          <w:tcPr>
            <w:tcW w:w="6009" w:type="dxa"/>
            <w:shd w:val="clear" w:color="auto" w:fill="auto"/>
            <w:vAlign w:val="center"/>
          </w:tcPr>
          <w:p w:rsidR="00802AC5" w:rsidRDefault="00777A19">
            <w:pPr>
              <w:rPr>
                <w:rFonts w:ascii="Times New Roman" w:eastAsia="仿宋_GB2312" w:hAnsi="Times New Roman" w:cs="宋体"/>
                <w:color w:val="000000"/>
                <w:spacing w:val="15"/>
                <w:kern w:val="0"/>
                <w:sz w:val="22"/>
              </w:rPr>
            </w:pPr>
            <w:r>
              <w:rPr>
                <w:rFonts w:ascii="Times New Roman" w:eastAsia="仿宋_GB2312" w:hAnsi="Times New Roman" w:cs="宋体" w:hint="eastAsia"/>
                <w:color w:val="000000"/>
                <w:spacing w:val="15"/>
                <w:kern w:val="0"/>
                <w:sz w:val="22"/>
              </w:rPr>
              <w:t>杭州亚运会成功举办，青年志愿者在其中发挥了重要作用，彰显青年一代</w:t>
            </w:r>
            <w:r>
              <w:rPr>
                <w:rFonts w:ascii="Times New Roman" w:eastAsia="仿宋_GB2312" w:hAnsi="Times New Roman" w:cs="宋体" w:hint="eastAsia"/>
                <w:color w:val="000000"/>
                <w:spacing w:val="15"/>
                <w:kern w:val="0"/>
                <w:sz w:val="22"/>
              </w:rPr>
              <w:t xml:space="preserve"> </w:t>
            </w:r>
            <w:r>
              <w:rPr>
                <w:rFonts w:ascii="Times New Roman" w:eastAsia="仿宋_GB2312" w:hAnsi="Times New Roman" w:cs="宋体" w:hint="eastAsia"/>
                <w:color w:val="000000"/>
                <w:spacing w:val="15"/>
                <w:kern w:val="0"/>
                <w:sz w:val="22"/>
              </w:rPr>
              <w:t>“自信、自律、自强”的青春标签。在后亚运时代，继续传播亚运故事，学习并弘扬亚运志愿者“国之大者”的胸怀、精益求精的匠心、坚毅担当的精神，在强国建设民族复兴新征程中唱响青春之歌。</w:t>
            </w:r>
          </w:p>
        </w:tc>
      </w:tr>
    </w:tbl>
    <w:p w:rsidR="00802AC5" w:rsidRDefault="00802AC5"/>
    <w:sectPr w:rsidR="00802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A19" w:rsidRDefault="00777A19" w:rsidP="00661C9E">
      <w:r>
        <w:separator/>
      </w:r>
    </w:p>
  </w:endnote>
  <w:endnote w:type="continuationSeparator" w:id="0">
    <w:p w:rsidR="00777A19" w:rsidRDefault="00777A19" w:rsidP="0066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A19" w:rsidRDefault="00777A19" w:rsidP="00661C9E">
      <w:r>
        <w:separator/>
      </w:r>
    </w:p>
  </w:footnote>
  <w:footnote w:type="continuationSeparator" w:id="0">
    <w:p w:rsidR="00777A19" w:rsidRDefault="00777A19" w:rsidP="00661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MDg0MWQ5N2YyYzZkMmVhZGYwMTJiM2E5N2QyNWMifQ=="/>
  </w:docVars>
  <w:rsids>
    <w:rsidRoot w:val="00205DF3"/>
    <w:rsid w:val="00010520"/>
    <w:rsid w:val="00205DF3"/>
    <w:rsid w:val="0041377E"/>
    <w:rsid w:val="00661C9E"/>
    <w:rsid w:val="00777A19"/>
    <w:rsid w:val="00802AC5"/>
    <w:rsid w:val="00804701"/>
    <w:rsid w:val="008517B8"/>
    <w:rsid w:val="009917FC"/>
    <w:rsid w:val="00EE2BC6"/>
    <w:rsid w:val="00FE06F0"/>
    <w:rsid w:val="269B0D33"/>
    <w:rsid w:val="368C1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CC089"/>
  <w15:docId w15:val="{EFCCBF78-9AAC-4707-84B5-64B08180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727D4-4712-4838-8C89-42E1B63A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2023-12-01T02:06:00Z</dcterms:created>
  <dcterms:modified xsi:type="dcterms:W3CDTF">2023-12-01T02:06:00Z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266A3C32164C4D45BA6827B97ADCD67D_12</vt:lpwstr>
  </property>
</Properties>
</file>