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5B" w:rsidRDefault="00C2375B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微软雅黑" w:eastAsia="微软雅黑" w:hAnsi="微软雅黑"/>
          <w:color w:val="4C4C4C"/>
        </w:rPr>
      </w:pPr>
      <w:r>
        <w:rPr>
          <w:rFonts w:ascii="黑体" w:eastAsia="黑体" w:hAnsi="黑体" w:hint="eastAsia"/>
          <w:color w:val="4C4C4C"/>
          <w:sz w:val="32"/>
          <w:szCs w:val="32"/>
          <w:shd w:val="clear" w:color="auto" w:fill="FFFFFF"/>
        </w:rPr>
        <w:t>第六条</w:t>
      </w:r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“推免生</w:t>
      </w:r>
      <w:r w:rsidR="00907ECB"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综合评价加分细则：</w:t>
      </w:r>
    </w:p>
    <w:p w:rsidR="00C2375B" w:rsidRDefault="00C2375B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微软雅黑" w:eastAsia="微软雅黑" w:hAnsi="微软雅黑"/>
          <w:color w:val="4C4C4C"/>
        </w:rPr>
      </w:pPr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“推免生”综合评价由学习成绩、综合能力、创新能力三项指标构成，分数计算方式为百分制，总分为100分，学习成绩权重75%（满分75分），综合能力权重15%（满分15分），创新能力权重10%（满分10分）。</w:t>
      </w:r>
    </w:p>
    <w:p w:rsidR="00C2375B" w:rsidRDefault="00C2375B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微软雅黑" w:eastAsia="微软雅黑" w:hAnsi="微软雅黑"/>
          <w:color w:val="4C4C4C"/>
        </w:rPr>
      </w:pPr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（1）学习成绩权重分数由学校教务处统一提供。将学生前三学年（五年制专业为前四学年）平均</w:t>
      </w:r>
      <w:proofErr w:type="gramStart"/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学分绩点换算</w:t>
      </w:r>
      <w:proofErr w:type="gramEnd"/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成百分制，百分制</w:t>
      </w:r>
      <w:proofErr w:type="gramStart"/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学分绩点</w:t>
      </w:r>
      <w:proofErr w:type="gramEnd"/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×75%。</w:t>
      </w:r>
    </w:p>
    <w:p w:rsidR="00C2375B" w:rsidRDefault="00C2375B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仿宋" w:eastAsia="仿宋" w:hAnsi="仿宋"/>
          <w:color w:val="4C4C4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（2）综合能力权重分数采用积分制，根据学生提供的优秀党员、十佳大学生、三好学生、优秀学生干部、优秀团干部等综合性荣誉证书及相关证明材料加分，其他单项荣誉不加分。同年度同一项荣誉以最高级加分，不重复加分。</w:t>
      </w:r>
    </w:p>
    <w:p w:rsidR="00911331" w:rsidRDefault="00911331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仿宋" w:eastAsia="仿宋" w:hAnsi="仿宋"/>
          <w:color w:val="4C4C4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积分</w:t>
      </w:r>
      <w:r>
        <w:rPr>
          <w:rFonts w:ascii="仿宋" w:eastAsia="仿宋" w:hAnsi="仿宋"/>
          <w:color w:val="4C4C4C"/>
          <w:sz w:val="32"/>
          <w:szCs w:val="32"/>
          <w:shd w:val="clear" w:color="auto" w:fill="FFFFFF"/>
        </w:rPr>
        <w:t>细则：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212"/>
        <w:gridCol w:w="1276"/>
        <w:gridCol w:w="1134"/>
        <w:gridCol w:w="1417"/>
        <w:gridCol w:w="1413"/>
      </w:tblGrid>
      <w:tr w:rsidR="00911331" w:rsidRPr="00911331" w:rsidTr="00362AE0">
        <w:trPr>
          <w:jc w:val="center"/>
        </w:trPr>
        <w:tc>
          <w:tcPr>
            <w:tcW w:w="1056" w:type="dxa"/>
          </w:tcPr>
          <w:p w:rsid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奖项</w:t>
            </w:r>
          </w:p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  <w:t>名称</w:t>
            </w:r>
          </w:p>
        </w:tc>
        <w:tc>
          <w:tcPr>
            <w:tcW w:w="1212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校优秀</w:t>
            </w:r>
            <w:r w:rsidRPr="00911331"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  <w:t>党员</w:t>
            </w:r>
          </w:p>
        </w:tc>
        <w:tc>
          <w:tcPr>
            <w:tcW w:w="1276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校十佳</w:t>
            </w:r>
            <w:r w:rsidRPr="00911331"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  <w:t>大学生</w:t>
            </w:r>
          </w:p>
        </w:tc>
        <w:tc>
          <w:tcPr>
            <w:tcW w:w="1134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校三好</w:t>
            </w:r>
            <w:r w:rsidRPr="00911331"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  <w:t>学生</w:t>
            </w:r>
          </w:p>
        </w:tc>
        <w:tc>
          <w:tcPr>
            <w:tcW w:w="1417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校优秀学生干部</w:t>
            </w:r>
          </w:p>
        </w:tc>
        <w:tc>
          <w:tcPr>
            <w:tcW w:w="1413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校优秀团干部</w:t>
            </w:r>
          </w:p>
        </w:tc>
      </w:tr>
      <w:tr w:rsidR="00911331" w:rsidRPr="00911331" w:rsidTr="00362AE0">
        <w:trPr>
          <w:jc w:val="center"/>
        </w:trPr>
        <w:tc>
          <w:tcPr>
            <w:tcW w:w="1056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积分</w:t>
            </w:r>
          </w:p>
        </w:tc>
        <w:tc>
          <w:tcPr>
            <w:tcW w:w="1212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1413" w:type="dxa"/>
          </w:tcPr>
          <w:p w:rsidR="00911331" w:rsidRPr="00911331" w:rsidRDefault="00911331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 w:rsidRPr="00911331">
              <w:rPr>
                <w:rFonts w:ascii="仿宋" w:eastAsia="仿宋" w:hAnsi="仿宋" w:hint="eastAsia"/>
                <w:color w:val="4C4C4C"/>
                <w:sz w:val="28"/>
                <w:szCs w:val="32"/>
                <w:shd w:val="clear" w:color="auto" w:fill="FFFFFF"/>
              </w:rPr>
              <w:t>1</w:t>
            </w:r>
          </w:p>
        </w:tc>
      </w:tr>
      <w:tr w:rsidR="00911331" w:rsidRPr="00911331" w:rsidTr="00362AE0">
        <w:trPr>
          <w:jc w:val="center"/>
        </w:trPr>
        <w:tc>
          <w:tcPr>
            <w:tcW w:w="7508" w:type="dxa"/>
            <w:gridSpan w:val="6"/>
          </w:tcPr>
          <w:p w:rsidR="00911331" w:rsidRPr="00911331" w:rsidRDefault="00362AE0" w:rsidP="00911331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/>
                <w:color w:val="4C4C4C"/>
                <w:sz w:val="28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4C4C4C"/>
                <w:szCs w:val="32"/>
                <w:shd w:val="clear" w:color="auto" w:fill="FFFFFF"/>
              </w:rPr>
              <w:t>备注</w:t>
            </w:r>
            <w:r>
              <w:rPr>
                <w:rFonts w:ascii="仿宋" w:eastAsia="仿宋" w:hAnsi="仿宋"/>
                <w:color w:val="4C4C4C"/>
                <w:szCs w:val="32"/>
                <w:shd w:val="clear" w:color="auto" w:fill="FFFFFF"/>
              </w:rPr>
              <w:t>：</w:t>
            </w:r>
            <w:r w:rsidR="00911331" w:rsidRPr="00911331">
              <w:rPr>
                <w:rFonts w:ascii="仿宋" w:eastAsia="仿宋" w:hAnsi="仿宋" w:hint="eastAsia"/>
                <w:color w:val="4C4C4C"/>
                <w:szCs w:val="32"/>
                <w:shd w:val="clear" w:color="auto" w:fill="FFFFFF"/>
              </w:rPr>
              <w:t>在校级获奖</w:t>
            </w:r>
            <w:r w:rsidR="00911331" w:rsidRPr="00911331">
              <w:rPr>
                <w:rFonts w:ascii="仿宋" w:eastAsia="仿宋" w:hAnsi="仿宋"/>
                <w:color w:val="4C4C4C"/>
                <w:szCs w:val="32"/>
                <w:shd w:val="clear" w:color="auto" w:fill="FFFFFF"/>
              </w:rPr>
              <w:t>基础上，各奖项获</w:t>
            </w:r>
            <w:r w:rsidR="00911331" w:rsidRPr="00911331">
              <w:rPr>
                <w:rFonts w:ascii="仿宋" w:eastAsia="仿宋" w:hAnsi="仿宋" w:hint="eastAsia"/>
                <w:color w:val="4C4C4C"/>
                <w:szCs w:val="32"/>
                <w:shd w:val="clear" w:color="auto" w:fill="FFFFFF"/>
              </w:rPr>
              <w:t>同类市级</w:t>
            </w:r>
            <w:r w:rsidR="00911331" w:rsidRPr="00911331">
              <w:rPr>
                <w:rFonts w:ascii="仿宋" w:eastAsia="仿宋" w:hAnsi="仿宋"/>
                <w:color w:val="4C4C4C"/>
                <w:szCs w:val="32"/>
                <w:shd w:val="clear" w:color="auto" w:fill="FFFFFF"/>
              </w:rPr>
              <w:t>荣誉的再加</w:t>
            </w:r>
            <w:r w:rsidR="00911331" w:rsidRPr="00911331">
              <w:rPr>
                <w:rFonts w:ascii="仿宋" w:eastAsia="仿宋" w:hAnsi="仿宋" w:hint="eastAsia"/>
                <w:color w:val="4C4C4C"/>
                <w:szCs w:val="32"/>
                <w:shd w:val="clear" w:color="auto" w:fill="FFFFFF"/>
              </w:rPr>
              <w:t>1</w:t>
            </w:r>
            <w:r w:rsidR="00911331" w:rsidRPr="00911331">
              <w:rPr>
                <w:rFonts w:ascii="仿宋" w:eastAsia="仿宋" w:hAnsi="仿宋"/>
                <w:color w:val="4C4C4C"/>
                <w:szCs w:val="32"/>
                <w:shd w:val="clear" w:color="auto" w:fill="FFFFFF"/>
              </w:rPr>
              <w:t>分，省级荣誉再加</w:t>
            </w:r>
            <w:r w:rsidR="00911331" w:rsidRPr="00911331">
              <w:rPr>
                <w:rFonts w:ascii="仿宋" w:eastAsia="仿宋" w:hAnsi="仿宋" w:hint="eastAsia"/>
                <w:color w:val="4C4C4C"/>
                <w:szCs w:val="32"/>
                <w:shd w:val="clear" w:color="auto" w:fill="FFFFFF"/>
              </w:rPr>
              <w:t>2分</w:t>
            </w:r>
            <w:r w:rsidR="00911331" w:rsidRPr="00911331">
              <w:rPr>
                <w:rFonts w:ascii="仿宋" w:eastAsia="仿宋" w:hAnsi="仿宋"/>
                <w:color w:val="4C4C4C"/>
                <w:szCs w:val="32"/>
                <w:shd w:val="clear" w:color="auto" w:fill="FFFFFF"/>
              </w:rPr>
              <w:t>，国家级荣誉再加3</w:t>
            </w:r>
            <w:r w:rsidR="00911331" w:rsidRPr="00911331">
              <w:rPr>
                <w:rFonts w:ascii="仿宋" w:eastAsia="仿宋" w:hAnsi="仿宋" w:hint="eastAsia"/>
                <w:color w:val="4C4C4C"/>
                <w:szCs w:val="32"/>
                <w:shd w:val="clear" w:color="auto" w:fill="FFFFFF"/>
              </w:rPr>
              <w:t>分，</w:t>
            </w:r>
            <w:r w:rsidR="00911331" w:rsidRPr="00911331">
              <w:rPr>
                <w:rFonts w:ascii="仿宋" w:eastAsia="仿宋" w:hAnsi="仿宋"/>
                <w:color w:val="4C4C4C"/>
                <w:szCs w:val="32"/>
                <w:shd w:val="clear" w:color="auto" w:fill="FFFFFF"/>
              </w:rPr>
              <w:t>以最高级记，不重复加分。</w:t>
            </w:r>
          </w:p>
        </w:tc>
      </w:tr>
    </w:tbl>
    <w:p w:rsidR="00911331" w:rsidRDefault="00911331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仿宋" w:eastAsia="仿宋" w:hAnsi="仿宋"/>
          <w:color w:val="4C4C4C"/>
          <w:sz w:val="32"/>
          <w:szCs w:val="32"/>
          <w:shd w:val="clear" w:color="auto" w:fill="FFFFFF"/>
        </w:rPr>
      </w:pPr>
    </w:p>
    <w:p w:rsidR="00911331" w:rsidRPr="00362AE0" w:rsidRDefault="00911331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仿宋" w:eastAsia="仿宋" w:hAnsi="仿宋"/>
          <w:color w:val="4C4C4C"/>
          <w:sz w:val="32"/>
          <w:szCs w:val="32"/>
          <w:shd w:val="clear" w:color="auto" w:fill="FFFFFF"/>
        </w:rPr>
      </w:pPr>
    </w:p>
    <w:p w:rsidR="00911331" w:rsidRPr="00911331" w:rsidRDefault="00911331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微软雅黑" w:eastAsia="微软雅黑" w:hAnsi="微软雅黑"/>
          <w:color w:val="4C4C4C"/>
        </w:rPr>
      </w:pPr>
    </w:p>
    <w:p w:rsidR="00C2375B" w:rsidRDefault="00C2375B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仿宋" w:eastAsia="仿宋" w:hAnsi="仿宋"/>
          <w:color w:val="4C4C4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lastRenderedPageBreak/>
        <w:t>（3）创新能力权重分数采用积分制，根据学生在校期间发表学术论文、申请国家专利、参加学科竞赛获奖等情况加分。同一项目按最</w:t>
      </w:r>
      <w:bookmarkStart w:id="0" w:name="_GoBack"/>
      <w:bookmarkEnd w:id="0"/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高级加分，不重复加分。</w:t>
      </w:r>
    </w:p>
    <w:p w:rsidR="00911331" w:rsidRDefault="00911331" w:rsidP="00C2375B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rPr>
          <w:rFonts w:ascii="仿宋" w:eastAsia="仿宋" w:hAnsi="仿宋"/>
          <w:color w:val="4C4C4C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4C4C4C"/>
          <w:sz w:val="32"/>
          <w:szCs w:val="32"/>
          <w:shd w:val="clear" w:color="auto" w:fill="FFFFFF"/>
        </w:rPr>
        <w:t>积分细则：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134"/>
        <w:gridCol w:w="5953"/>
        <w:gridCol w:w="993"/>
      </w:tblGrid>
      <w:tr w:rsidR="00362AE0" w:rsidTr="000446CC">
        <w:trPr>
          <w:jc w:val="center"/>
        </w:trPr>
        <w:tc>
          <w:tcPr>
            <w:tcW w:w="846" w:type="dxa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5953" w:type="dxa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获奖名称和等级</w:t>
            </w:r>
          </w:p>
        </w:tc>
        <w:tc>
          <w:tcPr>
            <w:tcW w:w="993" w:type="dxa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加分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 w:val="restart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论文</w:t>
            </w: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SCI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（科学引文索引）、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EI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（工程索引）、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SSCI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（社会科学引文索引）、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ISTP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（科学技术会议录索引）、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ISSHP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（人文社会科学会议录索引）、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＆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HCI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（艺术与文科引文索引）等检索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一级核心学术期刊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二级核心学术期刊、国外学术期刊（外文版）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一般学术期刊、国内有刊号的学术会议论文集、各类学术期刊增刊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《人民日报》、《文汇报》、《光明日报》、《文艺报》、《中国教育报》理论版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全国性报刊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省级报刊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市级报刊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 w:val="restart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62AE0" w:rsidRDefault="00362AE0" w:rsidP="00362AE0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国家</w:t>
            </w:r>
          </w:p>
          <w:p w:rsidR="00362AE0" w:rsidRDefault="00362AE0" w:rsidP="00362AE0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专利</w:t>
            </w: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Merge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2AE0" w:rsidRDefault="00362AE0" w:rsidP="00362AE0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外观专利、实用新型、软件著作权</w:t>
            </w:r>
          </w:p>
        </w:tc>
        <w:tc>
          <w:tcPr>
            <w:tcW w:w="993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Align w:val="center"/>
          </w:tcPr>
          <w:p w:rsid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2AE0" w:rsidRDefault="00362AE0" w:rsidP="00362AE0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学科</w:t>
            </w:r>
          </w:p>
          <w:p w:rsidR="00362AE0" w:rsidRDefault="00362AE0" w:rsidP="00362AE0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竞赛</w:t>
            </w:r>
          </w:p>
        </w:tc>
        <w:tc>
          <w:tcPr>
            <w:tcW w:w="6946" w:type="dxa"/>
            <w:gridSpan w:val="2"/>
            <w:vAlign w:val="center"/>
          </w:tcPr>
          <w:p w:rsidR="00362AE0" w:rsidRPr="00362AE0" w:rsidRDefault="00362AE0" w:rsidP="0013760C">
            <w:pPr>
              <w:spacing w:beforeLines="50" w:before="156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以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校学科竞赛文件加分为准</w:t>
            </w:r>
          </w:p>
        </w:tc>
      </w:tr>
      <w:tr w:rsidR="00362AE0" w:rsidTr="000446CC">
        <w:trPr>
          <w:jc w:val="center"/>
        </w:trPr>
        <w:tc>
          <w:tcPr>
            <w:tcW w:w="846" w:type="dxa"/>
            <w:vAlign w:val="center"/>
          </w:tcPr>
          <w:p w:rsidR="00362AE0" w:rsidRDefault="00362AE0" w:rsidP="0013760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3"/>
            <w:vAlign w:val="center"/>
          </w:tcPr>
          <w:p w:rsidR="00362AE0" w:rsidRDefault="00362AE0" w:rsidP="0013760C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团队参与的加分标准为，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人的得分比例为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6:4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；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人的得分比例为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5:3:2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；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人的得分比例为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4:3:2:1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；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人及以上的得分比例为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4:3:2:1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，其中第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人及以后的同学加分比例为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。</w:t>
            </w:r>
          </w:p>
        </w:tc>
      </w:tr>
    </w:tbl>
    <w:p w:rsidR="006A761C" w:rsidRPr="00C2375B" w:rsidRDefault="000446CC"/>
    <w:sectPr w:rsidR="006A761C" w:rsidRPr="00C23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5B"/>
    <w:rsid w:val="000446CC"/>
    <w:rsid w:val="00362AE0"/>
    <w:rsid w:val="00907ECB"/>
    <w:rsid w:val="00911331"/>
    <w:rsid w:val="00A94B58"/>
    <w:rsid w:val="00C2375B"/>
    <w:rsid w:val="00E7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56208-791B-4CBE-B39E-731D27A6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11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2021-09-14T01:45:00Z</dcterms:created>
  <dcterms:modified xsi:type="dcterms:W3CDTF">2021-09-14T02:32:00Z</dcterms:modified>
</cp:coreProperties>
</file>