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2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附件</w:t>
      </w:r>
      <w:r>
        <w:rPr>
          <w:rFonts w:ascii="黑体" w:hAnsi="黑体" w:eastAsia="黑体" w:cs="黑体"/>
          <w:spacing w:val="-42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</w:rPr>
        <w:t>1</w:t>
      </w:r>
    </w:p>
    <w:p>
      <w:pPr>
        <w:spacing w:line="303" w:lineRule="auto"/>
        <w:rPr>
          <w:rFonts w:ascii="宋体"/>
          <w:sz w:val="21"/>
        </w:rPr>
      </w:pPr>
    </w:p>
    <w:p>
      <w:pPr>
        <w:spacing w:line="304" w:lineRule="auto"/>
        <w:rPr>
          <w:rFonts w:ascii="宋体"/>
          <w:sz w:val="21"/>
        </w:rPr>
      </w:pPr>
    </w:p>
    <w:p>
      <w:pPr>
        <w:spacing w:before="171" w:line="236" w:lineRule="auto"/>
        <w:ind w:left="1417" w:right="558" w:hanging="905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9"/>
          <w:sz w:val="44"/>
          <w:szCs w:val="44"/>
        </w:rPr>
        <w:t>杭州师范大学第二十四届学生思想政治</w:t>
      </w:r>
      <w:r>
        <w:rPr>
          <w:rFonts w:ascii="方正小标宋简体" w:hAnsi="方正小标宋简体" w:eastAsia="方正小标宋简体" w:cs="方正小标宋简体"/>
          <w:spacing w:val="8"/>
          <w:sz w:val="44"/>
          <w:szCs w:val="44"/>
        </w:rPr>
        <w:t xml:space="preserve"> 理论课优秀论文竞赛参考方向</w:t>
      </w:r>
    </w:p>
    <w:p>
      <w:pPr>
        <w:spacing w:line="454" w:lineRule="auto"/>
        <w:rPr>
          <w:rFonts w:ascii="宋体"/>
          <w:sz w:val="21"/>
        </w:rPr>
      </w:pPr>
    </w:p>
    <w:p>
      <w:pPr>
        <w:spacing w:before="105" w:line="277" w:lineRule="auto"/>
        <w:ind w:left="390" w:firstLine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1.习近平新时代中国特色社会主义思想研究              </w:t>
      </w:r>
      <w:r>
        <w:rPr>
          <w:rFonts w:ascii="仿宋" w:hAnsi="仿宋" w:eastAsia="仿宋" w:cs="仿宋"/>
          <w:spacing w:val="2"/>
          <w:sz w:val="32"/>
          <w:szCs w:val="32"/>
        </w:rPr>
        <w:t>2.十九届六中全会精神研究</w:t>
      </w:r>
      <w:r>
        <w:rPr>
          <w:rFonts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ascii="仿宋" w:hAnsi="仿宋" w:eastAsia="仿宋" w:cs="仿宋"/>
          <w:spacing w:val="-4"/>
          <w:sz w:val="32"/>
          <w:szCs w:val="32"/>
        </w:rPr>
        <w:t>3.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“八八战略”与习近平新时代中国特色社会主义思想的萌</w:t>
      </w:r>
    </w:p>
    <w:p>
      <w:pPr>
        <w:spacing w:before="240" w:line="182" w:lineRule="auto"/>
        <w:ind w:firstLine="7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发研究</w:t>
      </w:r>
    </w:p>
    <w:p>
      <w:pPr>
        <w:spacing w:before="256" w:line="320" w:lineRule="auto"/>
        <w:ind w:left="392" w:hanging="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4.浙江建设共同富裕示范区相关理论与实践研究</w:t>
      </w:r>
      <w:r>
        <w:rPr>
          <w:rFonts w:ascii="仿宋" w:hAnsi="仿宋" w:eastAsia="仿宋" w:cs="仿宋"/>
          <w:sz w:val="32"/>
          <w:szCs w:val="32"/>
        </w:rPr>
        <w:t xml:space="preserve">          </w:t>
      </w:r>
      <w:r>
        <w:rPr>
          <w:rFonts w:ascii="仿宋" w:hAnsi="仿宋" w:eastAsia="仿宋" w:cs="仿宋"/>
          <w:spacing w:val="-1"/>
          <w:sz w:val="32"/>
          <w:szCs w:val="32"/>
        </w:rPr>
        <w:t>5.杭州在建设“重要窗口”中走在前列、争当示范的探索与</w:t>
      </w:r>
    </w:p>
    <w:p>
      <w:pPr>
        <w:spacing w:before="10" w:line="323" w:lineRule="auto"/>
        <w:ind w:left="388" w:right="916" w:firstLine="3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实践研究</w:t>
      </w:r>
      <w:r>
        <w:rPr>
          <w:rFonts w:ascii="仿宋" w:hAnsi="仿宋" w:eastAsia="仿宋" w:cs="仿宋"/>
          <w:sz w:val="32"/>
          <w:szCs w:val="32"/>
        </w:rPr>
        <w:t xml:space="preserve">                                     </w:t>
      </w:r>
      <w:r>
        <w:rPr>
          <w:rFonts w:ascii="仿宋" w:hAnsi="仿宋" w:eastAsia="仿宋" w:cs="仿宋"/>
          <w:spacing w:val="2"/>
          <w:sz w:val="32"/>
          <w:szCs w:val="32"/>
        </w:rPr>
        <w:t>6.当前经济和社会发展重点热点问题研究</w:t>
      </w:r>
      <w:r>
        <w:rPr>
          <w:rFonts w:ascii="仿宋" w:hAnsi="仿宋" w:eastAsia="仿宋" w:cs="仿宋"/>
          <w:sz w:val="32"/>
          <w:szCs w:val="32"/>
        </w:rPr>
        <w:t xml:space="preserve">           </w:t>
      </w:r>
      <w:r>
        <w:rPr>
          <w:rFonts w:ascii="仿宋" w:hAnsi="仿宋" w:eastAsia="仿宋" w:cs="仿宋"/>
          <w:spacing w:val="2"/>
          <w:sz w:val="32"/>
          <w:szCs w:val="32"/>
        </w:rPr>
        <w:t>7.党史上的重要人物、事件或著作研究</w:t>
      </w:r>
      <w:r>
        <w:rPr>
          <w:rFonts w:ascii="仿宋" w:hAnsi="仿宋" w:eastAsia="仿宋" w:cs="仿宋"/>
          <w:sz w:val="32"/>
          <w:szCs w:val="32"/>
        </w:rPr>
        <w:t xml:space="preserve">             </w:t>
      </w:r>
      <w:r>
        <w:rPr>
          <w:rFonts w:ascii="仿宋" w:hAnsi="仿宋" w:eastAsia="仿宋" w:cs="仿宋"/>
          <w:spacing w:val="-2"/>
          <w:sz w:val="32"/>
          <w:szCs w:val="32"/>
        </w:rPr>
        <w:t>8.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中国共产党人的精神谱系研究</w:t>
      </w:r>
      <w:r>
        <w:rPr>
          <w:rFonts w:ascii="仿宋" w:hAnsi="仿宋" w:eastAsia="仿宋" w:cs="仿宋"/>
          <w:sz w:val="32"/>
          <w:szCs w:val="32"/>
        </w:rPr>
        <w:t xml:space="preserve">                   </w:t>
      </w:r>
      <w:r>
        <w:rPr>
          <w:rFonts w:ascii="仿宋" w:hAnsi="仿宋" w:eastAsia="仿宋" w:cs="仿宋"/>
          <w:spacing w:val="1"/>
          <w:sz w:val="32"/>
          <w:szCs w:val="32"/>
        </w:rPr>
        <w:t>9.高校思想政治工作与当代大学生成长相关问题研究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10.大学生视角下的思想政治理论课教学改革研究</w:t>
      </w:r>
    </w:p>
    <w:p>
      <w:pPr>
        <w:spacing w:line="327" w:lineRule="auto"/>
        <w:rPr>
          <w:rFonts w:ascii="宋体"/>
          <w:sz w:val="21"/>
        </w:rPr>
      </w:pPr>
      <w:bookmarkStart w:id="0" w:name="_GoBack"/>
      <w:bookmarkEnd w:id="0"/>
    </w:p>
    <w:p>
      <w:pPr>
        <w:spacing w:line="328" w:lineRule="auto"/>
        <w:rPr>
          <w:rFonts w:ascii="宋体"/>
          <w:sz w:val="21"/>
        </w:rPr>
      </w:pPr>
    </w:p>
    <w:p>
      <w:pPr>
        <w:spacing w:before="296" w:line="180" w:lineRule="auto"/>
        <w:ind w:firstLine="220"/>
        <w:rPr>
          <w:rFonts w:ascii="宋体" w:hAnsi="宋体" w:eastAsia="宋体" w:cs="宋体"/>
          <w:sz w:val="29"/>
          <w:szCs w:val="29"/>
        </w:rPr>
      </w:pPr>
    </w:p>
    <w:sectPr>
      <w:footerReference r:id="rId5" w:type="default"/>
      <w:pgSz w:w="11910" w:h="16845"/>
      <w:pgMar w:top="1431" w:right="1590" w:bottom="400" w:left="158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0F22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2022-03-07T15:23:00Z</dcterms:created>
  <dc:creator>Administrator</dc:creator>
  <cp:lastModifiedBy>墨小火</cp:lastModifiedBy>
  <dcterms:modified xsi:type="dcterms:W3CDTF">2022-03-08T02:00:53Z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2022-03-08T09:59:34Z</vt:filetime>
  </property>
  <property fmtid="{D5CDD505-2E9C-101B-9397-08002B2CF9AE}" pid="4" name="KSOProductBuildVer">
    <vt:lpwstr>2052-11.1.0.11365</vt:lpwstr>
  </property>
  <property fmtid="{D5CDD505-2E9C-101B-9397-08002B2CF9AE}" pid="5" name="ICV">
    <vt:lpwstr>89A4D945AD7F43BD9B9F3F2AB2A191B4</vt:lpwstr>
  </property>
</Properties>
</file>